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6DF25" w14:textId="77777777" w:rsidR="00675961" w:rsidRDefault="00675961" w:rsidP="004E662F">
      <w:pPr>
        <w:spacing w:after="0"/>
        <w:jc w:val="center"/>
        <w:rPr>
          <w:rFonts w:ascii="Verdana" w:hAnsi="Verdana"/>
          <w:b/>
          <w:bCs/>
          <w:sz w:val="20"/>
          <w:szCs w:val="20"/>
        </w:rPr>
      </w:pPr>
    </w:p>
    <w:p w14:paraId="09334C4E" w14:textId="35C6F377" w:rsidR="00862D77" w:rsidRPr="00D61EAE" w:rsidRDefault="00862D77" w:rsidP="004E662F">
      <w:pPr>
        <w:spacing w:after="0"/>
        <w:jc w:val="center"/>
        <w:rPr>
          <w:rFonts w:ascii="Verdana" w:hAnsi="Verdana"/>
          <w:b/>
          <w:bCs/>
          <w:sz w:val="20"/>
          <w:szCs w:val="20"/>
        </w:rPr>
      </w:pPr>
      <w:r w:rsidRPr="00D61EAE">
        <w:rPr>
          <w:rFonts w:ascii="Verdana" w:hAnsi="Verdana"/>
          <w:b/>
          <w:bCs/>
          <w:sz w:val="20"/>
          <w:szCs w:val="20"/>
        </w:rPr>
        <w:t>PARTE 3</w:t>
      </w:r>
    </w:p>
    <w:p w14:paraId="1002F925" w14:textId="77777777" w:rsidR="00862D77" w:rsidRPr="00D61EAE" w:rsidRDefault="00862D77" w:rsidP="004E662F">
      <w:pPr>
        <w:spacing w:after="0"/>
        <w:jc w:val="center"/>
        <w:rPr>
          <w:rFonts w:ascii="Verdana" w:hAnsi="Verdana"/>
          <w:b/>
          <w:bCs/>
          <w:sz w:val="20"/>
          <w:szCs w:val="20"/>
        </w:rPr>
      </w:pPr>
      <w:r w:rsidRPr="00D61EAE">
        <w:rPr>
          <w:rFonts w:ascii="Verdana" w:hAnsi="Verdana"/>
          <w:b/>
          <w:bCs/>
          <w:sz w:val="20"/>
          <w:szCs w:val="20"/>
        </w:rPr>
        <w:t>INFORMACIÓN FINANCIERA Y ESQUEMAS DE REPORTE</w:t>
      </w:r>
    </w:p>
    <w:p w14:paraId="5D1CCBBE" w14:textId="77777777" w:rsidR="00862D77" w:rsidRPr="00D61EAE" w:rsidRDefault="00862D77" w:rsidP="004E662F">
      <w:pPr>
        <w:spacing w:after="0"/>
        <w:jc w:val="center"/>
        <w:rPr>
          <w:rFonts w:ascii="Verdana" w:hAnsi="Verdana"/>
          <w:b/>
          <w:bCs/>
          <w:sz w:val="20"/>
          <w:szCs w:val="20"/>
        </w:rPr>
      </w:pPr>
    </w:p>
    <w:p w14:paraId="34C126EB" w14:textId="77777777" w:rsidR="00862D77" w:rsidRPr="00D61EAE" w:rsidRDefault="00862D77" w:rsidP="004E662F">
      <w:pPr>
        <w:spacing w:after="0"/>
        <w:jc w:val="center"/>
        <w:rPr>
          <w:rFonts w:ascii="Verdana" w:hAnsi="Verdana"/>
          <w:b/>
          <w:bCs/>
          <w:sz w:val="20"/>
          <w:szCs w:val="20"/>
        </w:rPr>
      </w:pPr>
      <w:r w:rsidRPr="00D61EAE">
        <w:rPr>
          <w:rFonts w:ascii="Verdana" w:hAnsi="Verdana"/>
          <w:b/>
          <w:bCs/>
          <w:sz w:val="20"/>
          <w:szCs w:val="20"/>
        </w:rPr>
        <w:t>CAPÍTULO 7</w:t>
      </w:r>
    </w:p>
    <w:p w14:paraId="70FED89D" w14:textId="77777777" w:rsidR="00862D77" w:rsidRPr="00D61EAE" w:rsidRDefault="00862D77" w:rsidP="004E662F">
      <w:pPr>
        <w:spacing w:after="0"/>
        <w:jc w:val="center"/>
        <w:rPr>
          <w:rFonts w:ascii="Verdana" w:hAnsi="Verdana"/>
          <w:b/>
          <w:bCs/>
          <w:sz w:val="20"/>
          <w:szCs w:val="20"/>
        </w:rPr>
      </w:pPr>
      <w:r w:rsidRPr="00D61EAE">
        <w:rPr>
          <w:rFonts w:ascii="Verdana" w:hAnsi="Verdana"/>
          <w:b/>
          <w:bCs/>
          <w:sz w:val="20"/>
          <w:szCs w:val="20"/>
        </w:rPr>
        <w:t>OPERACIONES DE LIQUIDEZ Y DEL MERCADO DE VALORES</w:t>
      </w:r>
    </w:p>
    <w:p w14:paraId="67D2460B" w14:textId="77777777" w:rsidR="00862D77" w:rsidRPr="00D61EAE" w:rsidRDefault="00862D77" w:rsidP="004E662F">
      <w:pPr>
        <w:spacing w:after="0"/>
        <w:jc w:val="center"/>
        <w:rPr>
          <w:rFonts w:ascii="Verdana" w:hAnsi="Verdana"/>
          <w:b/>
          <w:bCs/>
          <w:sz w:val="20"/>
          <w:szCs w:val="20"/>
        </w:rPr>
      </w:pPr>
    </w:p>
    <w:p w14:paraId="08D5F5A2" w14:textId="77777777" w:rsidR="00862D77" w:rsidRPr="00D61EAE" w:rsidRDefault="00862D77" w:rsidP="004E662F">
      <w:pPr>
        <w:spacing w:after="0"/>
        <w:jc w:val="center"/>
        <w:rPr>
          <w:rFonts w:ascii="Verdana" w:hAnsi="Verdana"/>
          <w:b/>
          <w:bCs/>
          <w:sz w:val="20"/>
          <w:szCs w:val="20"/>
        </w:rPr>
      </w:pPr>
      <w:r w:rsidRPr="00D61EAE">
        <w:rPr>
          <w:rFonts w:ascii="Verdana" w:hAnsi="Verdana"/>
          <w:b/>
          <w:bCs/>
          <w:sz w:val="20"/>
          <w:szCs w:val="20"/>
        </w:rPr>
        <w:t>SECCIÓN 2</w:t>
      </w:r>
    </w:p>
    <w:p w14:paraId="133CEEF8" w14:textId="77777777" w:rsidR="00862D77" w:rsidRPr="00D61EAE" w:rsidRDefault="00862D77" w:rsidP="004E662F">
      <w:pPr>
        <w:spacing w:after="0"/>
        <w:jc w:val="center"/>
        <w:rPr>
          <w:rFonts w:ascii="Verdana" w:hAnsi="Verdana"/>
          <w:b/>
          <w:bCs/>
          <w:sz w:val="20"/>
          <w:szCs w:val="20"/>
        </w:rPr>
      </w:pPr>
      <w:r w:rsidRPr="00D61EAE">
        <w:rPr>
          <w:rFonts w:ascii="Verdana" w:hAnsi="Verdana"/>
          <w:b/>
          <w:bCs/>
          <w:sz w:val="20"/>
          <w:szCs w:val="20"/>
        </w:rPr>
        <w:t>OPERACIONES RELACIONADAS CON EL MERCADO MONETARIO</w:t>
      </w:r>
    </w:p>
    <w:p w14:paraId="23A84C87" w14:textId="77777777" w:rsidR="00862D77" w:rsidRPr="002D1A46" w:rsidRDefault="00862D77" w:rsidP="004E662F">
      <w:pPr>
        <w:spacing w:after="0"/>
        <w:jc w:val="center"/>
        <w:rPr>
          <w:rFonts w:ascii="Verdana" w:hAnsi="Verdana" w:cs="Arial"/>
          <w:b/>
          <w:sz w:val="20"/>
          <w:szCs w:val="20"/>
        </w:rPr>
      </w:pPr>
    </w:p>
    <w:p w14:paraId="7C78F197" w14:textId="77777777" w:rsidR="002D1A46" w:rsidRDefault="002D1A46" w:rsidP="004E662F">
      <w:pPr>
        <w:overflowPunct w:val="0"/>
        <w:autoSpaceDE w:val="0"/>
        <w:autoSpaceDN w:val="0"/>
        <w:adjustRightInd w:val="0"/>
        <w:spacing w:after="0" w:line="240" w:lineRule="auto"/>
        <w:jc w:val="both"/>
        <w:textAlignment w:val="baseline"/>
        <w:rPr>
          <w:rFonts w:ascii="Verdana" w:hAnsi="Verdana" w:cs="Arial"/>
          <w:b/>
          <w:sz w:val="20"/>
          <w:szCs w:val="20"/>
        </w:rPr>
      </w:pPr>
    </w:p>
    <w:p w14:paraId="192C2E81" w14:textId="77777777" w:rsidR="00043BFC" w:rsidRDefault="00043BFC" w:rsidP="004E662F">
      <w:pPr>
        <w:overflowPunct w:val="0"/>
        <w:autoSpaceDE w:val="0"/>
        <w:autoSpaceDN w:val="0"/>
        <w:adjustRightInd w:val="0"/>
        <w:spacing w:after="0" w:line="240" w:lineRule="auto"/>
        <w:jc w:val="both"/>
        <w:textAlignment w:val="baseline"/>
        <w:rPr>
          <w:rFonts w:ascii="Verdana" w:hAnsi="Verdana" w:cs="Arial"/>
          <w:b/>
          <w:sz w:val="20"/>
          <w:szCs w:val="20"/>
        </w:rPr>
      </w:pPr>
    </w:p>
    <w:p w14:paraId="473FF9F7" w14:textId="596FE973" w:rsidR="00862D77" w:rsidRPr="002D1A46" w:rsidRDefault="002D1A46" w:rsidP="004E662F">
      <w:pPr>
        <w:overflowPunct w:val="0"/>
        <w:autoSpaceDE w:val="0"/>
        <w:autoSpaceDN w:val="0"/>
        <w:adjustRightInd w:val="0"/>
        <w:spacing w:after="0" w:line="240" w:lineRule="auto"/>
        <w:jc w:val="both"/>
        <w:textAlignment w:val="baseline"/>
        <w:rPr>
          <w:rFonts w:ascii="Verdana" w:hAnsi="Verdana" w:cs="Arial"/>
          <w:b/>
          <w:sz w:val="20"/>
          <w:szCs w:val="20"/>
        </w:rPr>
      </w:pPr>
      <w:r w:rsidRPr="002D1A46">
        <w:rPr>
          <w:rFonts w:ascii="Verdana" w:hAnsi="Verdana" w:cs="Arial"/>
          <w:b/>
          <w:sz w:val="20"/>
          <w:szCs w:val="20"/>
        </w:rPr>
        <w:t>ÁMBITO DE APLICACIÓN</w:t>
      </w:r>
    </w:p>
    <w:p w14:paraId="78088484" w14:textId="77777777" w:rsidR="002D1A46" w:rsidRDefault="002D1A46" w:rsidP="004E662F">
      <w:pPr>
        <w:tabs>
          <w:tab w:val="left" w:pos="540"/>
        </w:tabs>
        <w:spacing w:after="0" w:line="240" w:lineRule="auto"/>
        <w:jc w:val="both"/>
        <w:rPr>
          <w:rFonts w:ascii="Verdana" w:hAnsi="Verdana" w:cs="Arial"/>
          <w:b/>
          <w:spacing w:val="20"/>
          <w:sz w:val="20"/>
          <w:szCs w:val="20"/>
        </w:rPr>
      </w:pPr>
    </w:p>
    <w:p w14:paraId="45727D2C" w14:textId="0FBD9BA3" w:rsidR="004E662F" w:rsidRPr="00D61EAE" w:rsidRDefault="004E662F" w:rsidP="004E662F">
      <w:pPr>
        <w:tabs>
          <w:tab w:val="left" w:pos="540"/>
        </w:tabs>
        <w:spacing w:after="0" w:line="240" w:lineRule="auto"/>
        <w:jc w:val="both"/>
        <w:rPr>
          <w:rFonts w:ascii="Verdana" w:hAnsi="Verdana" w:cs="Arial"/>
          <w:bCs/>
          <w:sz w:val="20"/>
          <w:szCs w:val="20"/>
        </w:rPr>
      </w:pPr>
      <w:r w:rsidRPr="00D61EAE">
        <w:rPr>
          <w:rFonts w:ascii="Verdana" w:hAnsi="Verdana" w:cs="Arial"/>
          <w:bCs/>
          <w:sz w:val="20"/>
          <w:szCs w:val="20"/>
        </w:rPr>
        <w:t>3.7.2.1.</w:t>
      </w:r>
    </w:p>
    <w:p w14:paraId="53C7979C" w14:textId="36190527" w:rsidR="00862D77" w:rsidRPr="00D61EAE" w:rsidRDefault="00C2076B" w:rsidP="004E662F">
      <w:pPr>
        <w:tabs>
          <w:tab w:val="left" w:pos="540"/>
        </w:tabs>
        <w:spacing w:after="0" w:line="240" w:lineRule="auto"/>
        <w:jc w:val="both"/>
        <w:rPr>
          <w:rFonts w:ascii="Verdana" w:hAnsi="Verdana" w:cs="Arial"/>
          <w:sz w:val="20"/>
          <w:szCs w:val="20"/>
        </w:rPr>
      </w:pPr>
      <w:r>
        <w:rPr>
          <w:rFonts w:ascii="Verdana" w:hAnsi="Verdana" w:cs="Arial"/>
          <w:bCs/>
          <w:sz w:val="20"/>
          <w:szCs w:val="20"/>
        </w:rPr>
        <w:t xml:space="preserve">La </w:t>
      </w:r>
      <w:r w:rsidR="00862D77" w:rsidRPr="00D61EAE">
        <w:rPr>
          <w:rFonts w:ascii="Verdana" w:hAnsi="Verdana" w:cs="Arial"/>
          <w:bCs/>
          <w:sz w:val="20"/>
          <w:szCs w:val="20"/>
        </w:rPr>
        <w:t xml:space="preserve">presente </w:t>
      </w:r>
      <w:r>
        <w:rPr>
          <w:rFonts w:ascii="Verdana" w:hAnsi="Verdana" w:cs="Arial"/>
          <w:bCs/>
          <w:sz w:val="20"/>
          <w:szCs w:val="20"/>
        </w:rPr>
        <w:t>sección</w:t>
      </w:r>
      <w:r w:rsidRPr="00D61EAE">
        <w:rPr>
          <w:rFonts w:ascii="Verdana" w:hAnsi="Verdana" w:cs="Arial"/>
          <w:bCs/>
          <w:sz w:val="20"/>
          <w:szCs w:val="20"/>
        </w:rPr>
        <w:t xml:space="preserve"> </w:t>
      </w:r>
      <w:r w:rsidR="00862D77" w:rsidRPr="00D61EAE">
        <w:rPr>
          <w:rFonts w:ascii="Verdana" w:hAnsi="Verdana" w:cs="Arial"/>
          <w:bCs/>
          <w:sz w:val="20"/>
          <w:szCs w:val="20"/>
        </w:rPr>
        <w:t>es aplicable a todas las entidades sometidas a inspección y vigilancia</w:t>
      </w:r>
      <w:r w:rsidR="00862D77" w:rsidRPr="00D61EAE">
        <w:rPr>
          <w:rFonts w:ascii="Verdana" w:hAnsi="Verdana" w:cs="Arial"/>
          <w:sz w:val="20"/>
          <w:szCs w:val="20"/>
        </w:rPr>
        <w:t xml:space="preserve"> de la Superintendencia Financiera de Colombia (SFC), así como a los fondos mutuos de inversión controlados</w:t>
      </w:r>
      <w:r w:rsidR="00E51A49">
        <w:rPr>
          <w:rFonts w:ascii="Verdana" w:hAnsi="Verdana" w:cs="Arial"/>
          <w:sz w:val="20"/>
          <w:szCs w:val="20"/>
        </w:rPr>
        <w:t xml:space="preserve"> </w:t>
      </w:r>
      <w:r w:rsidR="00A55F15">
        <w:rPr>
          <w:rFonts w:ascii="Verdana" w:hAnsi="Verdana" w:cs="Arial"/>
          <w:sz w:val="20"/>
          <w:szCs w:val="20"/>
        </w:rPr>
        <w:t xml:space="preserve">y a </w:t>
      </w:r>
      <w:r w:rsidR="00B55E49">
        <w:rPr>
          <w:rFonts w:ascii="Verdana" w:hAnsi="Verdana" w:cs="Arial"/>
          <w:sz w:val="20"/>
          <w:szCs w:val="20"/>
        </w:rPr>
        <w:t xml:space="preserve">los </w:t>
      </w:r>
      <w:r w:rsidR="000172EA">
        <w:rPr>
          <w:rFonts w:ascii="Verdana" w:hAnsi="Verdana" w:cs="Arial"/>
          <w:sz w:val="20"/>
          <w:szCs w:val="20"/>
        </w:rPr>
        <w:t xml:space="preserve">fondos de inversión colectiva y demás </w:t>
      </w:r>
      <w:r w:rsidR="00A55F15">
        <w:rPr>
          <w:rFonts w:ascii="Verdana" w:hAnsi="Verdana" w:cs="Arial"/>
          <w:sz w:val="20"/>
          <w:szCs w:val="20"/>
        </w:rPr>
        <w:t>vehículos de inversión administrados por las entidades vigiladas</w:t>
      </w:r>
      <w:r w:rsidR="0061436B">
        <w:rPr>
          <w:rFonts w:ascii="Verdana" w:hAnsi="Verdana" w:cs="Arial"/>
          <w:sz w:val="20"/>
          <w:szCs w:val="20"/>
        </w:rPr>
        <w:t xml:space="preserve">. </w:t>
      </w:r>
      <w:r w:rsidR="00862D77" w:rsidRPr="00D61EAE">
        <w:rPr>
          <w:rFonts w:ascii="Verdana" w:hAnsi="Verdana" w:cs="Arial"/>
          <w:sz w:val="20"/>
          <w:szCs w:val="20"/>
        </w:rPr>
        <w:t xml:space="preserve">Sin perjuicio de lo anterior, las instrucciones </w:t>
      </w:r>
      <w:r w:rsidR="00B8624F">
        <w:rPr>
          <w:rFonts w:ascii="Verdana" w:hAnsi="Verdana" w:cs="Arial"/>
          <w:sz w:val="20"/>
          <w:szCs w:val="20"/>
        </w:rPr>
        <w:t>de la</w:t>
      </w:r>
      <w:r w:rsidR="00B8624F" w:rsidRPr="00D61EAE">
        <w:rPr>
          <w:rFonts w:ascii="Verdana" w:hAnsi="Verdana" w:cs="Arial"/>
          <w:sz w:val="20"/>
          <w:szCs w:val="20"/>
        </w:rPr>
        <w:t xml:space="preserve"> </w:t>
      </w:r>
      <w:r w:rsidR="00862D77" w:rsidRPr="00D61EAE">
        <w:rPr>
          <w:rFonts w:ascii="Verdana" w:hAnsi="Verdana" w:cs="Arial"/>
          <w:sz w:val="20"/>
          <w:szCs w:val="20"/>
        </w:rPr>
        <w:t xml:space="preserve">presente </w:t>
      </w:r>
      <w:r w:rsidR="00B8624F">
        <w:rPr>
          <w:rFonts w:ascii="Verdana" w:hAnsi="Verdana" w:cs="Arial"/>
          <w:sz w:val="20"/>
          <w:szCs w:val="20"/>
        </w:rPr>
        <w:t>sección</w:t>
      </w:r>
      <w:r w:rsidR="00B8624F" w:rsidRPr="00D61EAE">
        <w:rPr>
          <w:rFonts w:ascii="Verdana" w:hAnsi="Verdana" w:cs="Arial"/>
          <w:sz w:val="20"/>
          <w:szCs w:val="20"/>
        </w:rPr>
        <w:t xml:space="preserve"> </w:t>
      </w:r>
      <w:r w:rsidR="00862D77" w:rsidRPr="00D61EAE">
        <w:rPr>
          <w:rFonts w:ascii="Verdana" w:hAnsi="Verdana" w:cs="Arial"/>
          <w:sz w:val="20"/>
          <w:szCs w:val="20"/>
        </w:rPr>
        <w:t xml:space="preserve">no son </w:t>
      </w:r>
      <w:r w:rsidR="00D61EAE" w:rsidRPr="00D61EAE">
        <w:rPr>
          <w:rFonts w:ascii="Verdana" w:hAnsi="Verdana" w:cs="Arial"/>
          <w:sz w:val="20"/>
          <w:szCs w:val="20"/>
        </w:rPr>
        <w:t>aplicables al</w:t>
      </w:r>
      <w:r w:rsidR="00862D77" w:rsidRPr="00D61EAE">
        <w:rPr>
          <w:rFonts w:ascii="Verdana" w:hAnsi="Verdana" w:cs="Arial"/>
          <w:sz w:val="20"/>
          <w:szCs w:val="20"/>
        </w:rPr>
        <w:t xml:space="preserve"> Banco de la República y a los fondos de pensiones.</w:t>
      </w:r>
    </w:p>
    <w:p w14:paraId="2B102266" w14:textId="77777777" w:rsidR="00862D77" w:rsidRPr="002D1A46" w:rsidRDefault="00862D77" w:rsidP="002D1A46">
      <w:pPr>
        <w:spacing w:after="0"/>
        <w:jc w:val="center"/>
        <w:rPr>
          <w:rFonts w:ascii="Verdana" w:hAnsi="Verdana" w:cs="Arial"/>
          <w:b/>
          <w:sz w:val="20"/>
          <w:szCs w:val="20"/>
        </w:rPr>
      </w:pPr>
    </w:p>
    <w:p w14:paraId="04CBB5A0" w14:textId="77777777" w:rsidR="002D1A46" w:rsidRDefault="00E80793" w:rsidP="002D1A46">
      <w:pPr>
        <w:spacing w:after="0"/>
        <w:rPr>
          <w:rFonts w:ascii="Verdana" w:hAnsi="Verdana" w:cs="Arial"/>
          <w:b/>
          <w:sz w:val="20"/>
          <w:szCs w:val="20"/>
        </w:rPr>
      </w:pPr>
      <w:r w:rsidRPr="002D1A46">
        <w:rPr>
          <w:rFonts w:ascii="Verdana" w:hAnsi="Verdana" w:cs="Arial"/>
          <w:b/>
          <w:sz w:val="20"/>
          <w:szCs w:val="20"/>
        </w:rPr>
        <w:t>DEFINICIONES COMUNES</w:t>
      </w:r>
    </w:p>
    <w:p w14:paraId="1C18C2BC" w14:textId="77777777" w:rsidR="002D1A46" w:rsidRDefault="002D1A46" w:rsidP="002D1A46">
      <w:pPr>
        <w:spacing w:after="0"/>
        <w:rPr>
          <w:rFonts w:ascii="Verdana" w:hAnsi="Verdana" w:cs="Arial"/>
          <w:b/>
          <w:sz w:val="20"/>
          <w:szCs w:val="20"/>
        </w:rPr>
      </w:pPr>
    </w:p>
    <w:p w14:paraId="451B62CC" w14:textId="16036A7C" w:rsidR="0001560A" w:rsidRPr="002D1A46" w:rsidRDefault="00862D77" w:rsidP="002D1A46">
      <w:pPr>
        <w:spacing w:after="0"/>
        <w:rPr>
          <w:rFonts w:ascii="Verdana" w:hAnsi="Verdana" w:cs="Arial"/>
          <w:b/>
          <w:sz w:val="20"/>
          <w:szCs w:val="20"/>
        </w:rPr>
      </w:pPr>
      <w:r w:rsidRPr="00E80793">
        <w:rPr>
          <w:rFonts w:ascii="Verdana" w:hAnsi="Verdana" w:cs="Arial"/>
          <w:b/>
          <w:sz w:val="20"/>
          <w:szCs w:val="20"/>
        </w:rPr>
        <w:t>Operaciones del mercado monetario</w:t>
      </w:r>
    </w:p>
    <w:p w14:paraId="1E2F7975" w14:textId="77777777" w:rsidR="002D1A46" w:rsidRDefault="002D1A46" w:rsidP="00E80793">
      <w:pPr>
        <w:spacing w:after="0" w:line="240" w:lineRule="auto"/>
        <w:jc w:val="both"/>
        <w:rPr>
          <w:rFonts w:ascii="Verdana" w:hAnsi="Verdana" w:cs="Arial"/>
          <w:bCs/>
          <w:sz w:val="20"/>
          <w:szCs w:val="20"/>
        </w:rPr>
      </w:pPr>
    </w:p>
    <w:p w14:paraId="77BD67D4" w14:textId="7CF355CC" w:rsidR="0001560A" w:rsidRPr="00D61EAE" w:rsidRDefault="0001560A" w:rsidP="00E80793">
      <w:pPr>
        <w:spacing w:after="0" w:line="240" w:lineRule="auto"/>
        <w:jc w:val="both"/>
        <w:rPr>
          <w:rFonts w:ascii="Verdana" w:hAnsi="Verdana" w:cs="Arial"/>
          <w:bCs/>
          <w:sz w:val="20"/>
          <w:szCs w:val="20"/>
        </w:rPr>
      </w:pPr>
      <w:r w:rsidRPr="008A5A83">
        <w:rPr>
          <w:rFonts w:ascii="Verdana" w:hAnsi="Verdana" w:cs="Arial"/>
          <w:bCs/>
          <w:sz w:val="20"/>
          <w:szCs w:val="20"/>
        </w:rPr>
        <w:t>3.7.2.2.</w:t>
      </w:r>
    </w:p>
    <w:p w14:paraId="10F540B9" w14:textId="6E16F79A" w:rsidR="00E231E6" w:rsidRPr="00BF17AF" w:rsidRDefault="0001560A" w:rsidP="002D1A46">
      <w:pPr>
        <w:pStyle w:val="Prrafodelista"/>
        <w:ind w:left="0"/>
        <w:jc w:val="both"/>
        <w:rPr>
          <w:rFonts w:ascii="Verdana" w:hAnsi="Verdana" w:cs="Arial"/>
          <w:sz w:val="20"/>
          <w:szCs w:val="20"/>
        </w:rPr>
      </w:pPr>
      <w:r>
        <w:rPr>
          <w:rFonts w:ascii="Verdana" w:hAnsi="Verdana" w:cs="Arial"/>
          <w:sz w:val="20"/>
          <w:szCs w:val="20"/>
        </w:rPr>
        <w:t>S</w:t>
      </w:r>
      <w:r w:rsidR="00862D77" w:rsidRPr="00071E60">
        <w:rPr>
          <w:rFonts w:ascii="Verdana" w:hAnsi="Verdana" w:cs="Arial"/>
          <w:sz w:val="20"/>
          <w:szCs w:val="20"/>
        </w:rPr>
        <w:t>on operaciones del mercado monetario las operaciones repo, las operaciones simultáneas, las operaciones de transferencia temporal de valores, las operaciones de fondos interbancarios</w:t>
      </w:r>
      <w:r w:rsidR="00E231E6">
        <w:rPr>
          <w:rFonts w:ascii="Verdana" w:hAnsi="Verdana" w:cs="Arial"/>
          <w:sz w:val="20"/>
          <w:szCs w:val="20"/>
        </w:rPr>
        <w:t>, incluid</w:t>
      </w:r>
      <w:r w:rsidR="001E55D1">
        <w:rPr>
          <w:rFonts w:ascii="Verdana" w:hAnsi="Verdana" w:cs="Arial"/>
          <w:sz w:val="20"/>
          <w:szCs w:val="20"/>
        </w:rPr>
        <w:t xml:space="preserve">as las </w:t>
      </w:r>
      <w:r w:rsidR="00BF17AF">
        <w:rPr>
          <w:rFonts w:ascii="Verdana" w:hAnsi="Verdana" w:cs="Arial"/>
          <w:sz w:val="20"/>
          <w:szCs w:val="20"/>
        </w:rPr>
        <w:t>operaciones</w:t>
      </w:r>
      <w:r w:rsidR="00E231E6">
        <w:rPr>
          <w:rFonts w:ascii="Verdana" w:hAnsi="Verdana" w:cs="Arial"/>
          <w:sz w:val="20"/>
          <w:szCs w:val="20"/>
        </w:rPr>
        <w:t xml:space="preserve"> “</w:t>
      </w:r>
      <w:r w:rsidR="00E231E6" w:rsidRPr="001B084F">
        <w:rPr>
          <w:rFonts w:ascii="Verdana" w:hAnsi="Verdana" w:cs="Arial"/>
          <w:i/>
          <w:iCs/>
          <w:sz w:val="20"/>
          <w:szCs w:val="20"/>
        </w:rPr>
        <w:t>overnight</w:t>
      </w:r>
      <w:r w:rsidR="00E231E6">
        <w:rPr>
          <w:rFonts w:ascii="Verdana" w:hAnsi="Verdana" w:cs="Arial"/>
          <w:sz w:val="20"/>
          <w:szCs w:val="20"/>
        </w:rPr>
        <w:t>”</w:t>
      </w:r>
      <w:r w:rsidR="00836A4C">
        <w:rPr>
          <w:rFonts w:ascii="Verdana" w:hAnsi="Verdana" w:cs="Arial"/>
          <w:sz w:val="20"/>
          <w:szCs w:val="20"/>
        </w:rPr>
        <w:t>,</w:t>
      </w:r>
      <w:r w:rsidR="00862D77" w:rsidRPr="00071E60">
        <w:rPr>
          <w:rFonts w:ascii="Verdana" w:hAnsi="Verdana" w:cs="Arial"/>
          <w:sz w:val="20"/>
          <w:szCs w:val="20"/>
        </w:rPr>
        <w:t xml:space="preserve"> las operaciones de fondos </w:t>
      </w:r>
      <w:r w:rsidR="00071E60" w:rsidRPr="00071E60">
        <w:rPr>
          <w:rFonts w:ascii="Verdana" w:hAnsi="Verdana" w:cs="Arial"/>
          <w:sz w:val="20"/>
          <w:szCs w:val="20"/>
        </w:rPr>
        <w:t>Inter asociados</w:t>
      </w:r>
      <w:r w:rsidR="00836A4C">
        <w:rPr>
          <w:rFonts w:ascii="Verdana" w:hAnsi="Verdana" w:cs="Arial"/>
          <w:sz w:val="20"/>
          <w:szCs w:val="20"/>
        </w:rPr>
        <w:t>,</w:t>
      </w:r>
      <w:r w:rsidR="00E231E6" w:rsidRPr="00211BF0">
        <w:rPr>
          <w:rFonts w:ascii="Verdana" w:hAnsi="Verdana" w:cs="Arial"/>
          <w:sz w:val="20"/>
          <w:szCs w:val="20"/>
        </w:rPr>
        <w:t xml:space="preserve"> así como las operaciones conexas a </w:t>
      </w:r>
      <w:r w:rsidR="00BF17AF">
        <w:rPr>
          <w:rFonts w:ascii="Verdana" w:hAnsi="Verdana" w:cs="Arial"/>
          <w:sz w:val="20"/>
          <w:szCs w:val="20"/>
        </w:rPr>
        <w:t>é</w:t>
      </w:r>
      <w:r w:rsidR="00E231E6" w:rsidRPr="00211BF0">
        <w:rPr>
          <w:rFonts w:ascii="Verdana" w:hAnsi="Verdana" w:cs="Arial"/>
          <w:sz w:val="20"/>
          <w:szCs w:val="20"/>
        </w:rPr>
        <w:t>stas</w:t>
      </w:r>
      <w:r w:rsidR="00BF17AF">
        <w:rPr>
          <w:rFonts w:ascii="Verdana" w:hAnsi="Verdana" w:cs="Arial"/>
          <w:sz w:val="20"/>
          <w:szCs w:val="20"/>
        </w:rPr>
        <w:t>;</w:t>
      </w:r>
      <w:r w:rsidR="00E231E6" w:rsidRPr="00211BF0">
        <w:rPr>
          <w:rFonts w:ascii="Verdana" w:hAnsi="Verdana" w:cs="Arial"/>
          <w:sz w:val="20"/>
          <w:szCs w:val="20"/>
        </w:rPr>
        <w:t xml:space="preserve"> es decir: repo sobre repo, repo sobre simultánea, simultánea sobre repo, simultánea sobre simultánea y ventas en corto</w:t>
      </w:r>
      <w:r w:rsidR="00836A4C">
        <w:rPr>
          <w:rFonts w:ascii="Verdana" w:hAnsi="Verdana" w:cs="Arial"/>
          <w:sz w:val="20"/>
          <w:szCs w:val="20"/>
        </w:rPr>
        <w:t>.</w:t>
      </w:r>
    </w:p>
    <w:p w14:paraId="39469878" w14:textId="7D2C0E8E" w:rsidR="0001560A" w:rsidRPr="002D1A46" w:rsidRDefault="00862D77" w:rsidP="002D1A46">
      <w:pPr>
        <w:jc w:val="both"/>
        <w:rPr>
          <w:rFonts w:ascii="Verdana" w:hAnsi="Verdana" w:cs="Arial"/>
          <w:sz w:val="20"/>
          <w:szCs w:val="20"/>
        </w:rPr>
      </w:pPr>
      <w:r w:rsidRPr="00E80793">
        <w:rPr>
          <w:rFonts w:ascii="Verdana" w:hAnsi="Verdana" w:cs="Arial"/>
          <w:b/>
          <w:sz w:val="20"/>
          <w:szCs w:val="20"/>
        </w:rPr>
        <w:t xml:space="preserve">Operaciones de reporto o repo, operaciones simultáneas y operaciones de transferencia temporal de valores. </w:t>
      </w:r>
    </w:p>
    <w:p w14:paraId="6453FFF2" w14:textId="745FB2AE" w:rsidR="0001560A" w:rsidRPr="00D61EAE" w:rsidRDefault="0001560A" w:rsidP="00E80793">
      <w:pPr>
        <w:spacing w:after="0" w:line="240" w:lineRule="auto"/>
        <w:jc w:val="both"/>
        <w:rPr>
          <w:rFonts w:ascii="Verdana" w:hAnsi="Verdana" w:cs="Arial"/>
          <w:bCs/>
          <w:sz w:val="20"/>
          <w:szCs w:val="20"/>
        </w:rPr>
      </w:pPr>
      <w:r w:rsidRPr="00D61EAE">
        <w:rPr>
          <w:rFonts w:ascii="Verdana" w:hAnsi="Verdana" w:cs="Arial"/>
          <w:bCs/>
          <w:sz w:val="20"/>
          <w:szCs w:val="20"/>
        </w:rPr>
        <w:t>3.7.2.</w:t>
      </w:r>
      <w:r>
        <w:rPr>
          <w:rFonts w:ascii="Verdana" w:hAnsi="Verdana" w:cs="Arial"/>
          <w:bCs/>
          <w:sz w:val="20"/>
          <w:szCs w:val="20"/>
        </w:rPr>
        <w:t>3</w:t>
      </w:r>
      <w:r w:rsidRPr="00D61EAE">
        <w:rPr>
          <w:rFonts w:ascii="Verdana" w:hAnsi="Verdana" w:cs="Arial"/>
          <w:bCs/>
          <w:sz w:val="20"/>
          <w:szCs w:val="20"/>
        </w:rPr>
        <w:t>.</w:t>
      </w:r>
    </w:p>
    <w:p w14:paraId="599CD36A" w14:textId="77777777" w:rsidR="001E7800" w:rsidRDefault="00862D77" w:rsidP="002D1A46">
      <w:pPr>
        <w:pStyle w:val="Prrafodelista"/>
        <w:ind w:left="0"/>
        <w:jc w:val="both"/>
        <w:rPr>
          <w:rFonts w:ascii="Verdana" w:hAnsi="Verdana" w:cs="Arial"/>
          <w:sz w:val="20"/>
          <w:szCs w:val="20"/>
        </w:rPr>
      </w:pPr>
      <w:r w:rsidRPr="004408F1">
        <w:rPr>
          <w:rFonts w:ascii="Verdana" w:hAnsi="Verdana" w:cs="Arial"/>
          <w:sz w:val="20"/>
          <w:szCs w:val="20"/>
        </w:rPr>
        <w:t xml:space="preserve">Son las operaciones a que hace referencia el Título 3 del Libro 36 de la Parte 2 del Decreto 2555 de 2010 o demás normas que lo sustituyan, modifiquen o subroguen. </w:t>
      </w:r>
    </w:p>
    <w:p w14:paraId="6C84C652" w14:textId="31484004" w:rsidR="001E7800" w:rsidRPr="00D61EAE" w:rsidRDefault="001E7800" w:rsidP="001E7800">
      <w:pPr>
        <w:spacing w:after="0" w:line="240" w:lineRule="auto"/>
        <w:jc w:val="both"/>
        <w:rPr>
          <w:rFonts w:ascii="Verdana" w:hAnsi="Verdana" w:cs="Arial"/>
          <w:bCs/>
          <w:sz w:val="20"/>
          <w:szCs w:val="20"/>
        </w:rPr>
      </w:pPr>
      <w:r w:rsidRPr="00D61EAE">
        <w:rPr>
          <w:rFonts w:ascii="Verdana" w:hAnsi="Verdana" w:cs="Arial"/>
          <w:bCs/>
          <w:sz w:val="20"/>
          <w:szCs w:val="20"/>
        </w:rPr>
        <w:t>3.7.2.</w:t>
      </w:r>
      <w:r w:rsidR="00757534">
        <w:rPr>
          <w:rFonts w:ascii="Verdana" w:hAnsi="Verdana" w:cs="Arial"/>
          <w:bCs/>
          <w:sz w:val="20"/>
          <w:szCs w:val="20"/>
        </w:rPr>
        <w:t>4</w:t>
      </w:r>
      <w:r w:rsidRPr="00D61EAE">
        <w:rPr>
          <w:rFonts w:ascii="Verdana" w:hAnsi="Verdana" w:cs="Arial"/>
          <w:bCs/>
          <w:sz w:val="20"/>
          <w:szCs w:val="20"/>
        </w:rPr>
        <w:t>.</w:t>
      </w:r>
    </w:p>
    <w:p w14:paraId="27D10CD2" w14:textId="6528A577" w:rsidR="00862D77" w:rsidRPr="002D1A46" w:rsidRDefault="00862D77" w:rsidP="001E7800">
      <w:pPr>
        <w:pStyle w:val="Prrafodelista"/>
        <w:ind w:left="0"/>
        <w:jc w:val="both"/>
        <w:rPr>
          <w:rFonts w:ascii="Verdana" w:hAnsi="Verdana" w:cs="Arial"/>
          <w:sz w:val="20"/>
          <w:szCs w:val="20"/>
        </w:rPr>
      </w:pPr>
      <w:r w:rsidRPr="004408F1">
        <w:rPr>
          <w:rFonts w:ascii="Verdana" w:hAnsi="Verdana" w:cs="Arial"/>
          <w:sz w:val="20"/>
          <w:szCs w:val="20"/>
        </w:rPr>
        <w:t xml:space="preserve">Cualquier operación que se denomine como de reporto o repo, simultánea o de transferencia temporal de valores deberá respetar las características establecidas en el mencionado decreto, en </w:t>
      </w:r>
      <w:r w:rsidR="00B8624F">
        <w:rPr>
          <w:rFonts w:ascii="Verdana" w:hAnsi="Verdana" w:cs="Arial"/>
          <w:sz w:val="20"/>
          <w:szCs w:val="20"/>
        </w:rPr>
        <w:t>esta sección</w:t>
      </w:r>
      <w:r w:rsidRPr="004408F1">
        <w:rPr>
          <w:rFonts w:ascii="Verdana" w:hAnsi="Verdana" w:cs="Arial"/>
          <w:sz w:val="20"/>
          <w:szCs w:val="20"/>
        </w:rPr>
        <w:t xml:space="preserve"> y en las demás instrucciones especiales que expida la SFC al respecto.</w:t>
      </w:r>
    </w:p>
    <w:p w14:paraId="315A7A84" w14:textId="77777777" w:rsidR="001E7800" w:rsidRDefault="001E7800" w:rsidP="001E7800">
      <w:pPr>
        <w:pStyle w:val="Prrafodelista"/>
        <w:jc w:val="both"/>
        <w:rPr>
          <w:rFonts w:ascii="Verdana" w:hAnsi="Verdana" w:cs="Arial"/>
          <w:b/>
          <w:sz w:val="20"/>
          <w:szCs w:val="20"/>
        </w:rPr>
      </w:pPr>
    </w:p>
    <w:p w14:paraId="447688C5" w14:textId="48B3B603" w:rsidR="009640BC" w:rsidRPr="001E7800" w:rsidRDefault="00862D77" w:rsidP="001E7800">
      <w:pPr>
        <w:pStyle w:val="Prrafodelista"/>
        <w:numPr>
          <w:ilvl w:val="0"/>
          <w:numId w:val="10"/>
        </w:numPr>
        <w:ind w:left="284" w:hanging="284"/>
        <w:jc w:val="both"/>
        <w:rPr>
          <w:rFonts w:ascii="Verdana" w:hAnsi="Verdana" w:cs="Arial"/>
          <w:b/>
          <w:sz w:val="20"/>
          <w:szCs w:val="20"/>
        </w:rPr>
      </w:pPr>
      <w:r w:rsidRPr="001E7800">
        <w:rPr>
          <w:rFonts w:ascii="Verdana" w:hAnsi="Verdana" w:cs="Arial"/>
          <w:b/>
          <w:sz w:val="20"/>
          <w:szCs w:val="20"/>
        </w:rPr>
        <w:t>Operación de reporto o repo</w:t>
      </w:r>
    </w:p>
    <w:p w14:paraId="5B0E2F42" w14:textId="77777777" w:rsidR="00827042" w:rsidRDefault="00827042" w:rsidP="00827042">
      <w:pPr>
        <w:pStyle w:val="Prrafodelista"/>
        <w:jc w:val="both"/>
        <w:rPr>
          <w:rFonts w:ascii="Verdana" w:hAnsi="Verdana" w:cs="Arial"/>
          <w:b/>
          <w:sz w:val="20"/>
          <w:szCs w:val="20"/>
        </w:rPr>
      </w:pPr>
    </w:p>
    <w:p w14:paraId="7DF7664F" w14:textId="1AB2DE7D" w:rsidR="00113420" w:rsidRPr="00827042" w:rsidRDefault="00862D77" w:rsidP="00827042">
      <w:pPr>
        <w:pStyle w:val="Prrafodelista"/>
        <w:numPr>
          <w:ilvl w:val="0"/>
          <w:numId w:val="11"/>
        </w:numPr>
        <w:ind w:left="567" w:hanging="283"/>
        <w:jc w:val="both"/>
        <w:rPr>
          <w:rFonts w:ascii="Verdana" w:hAnsi="Verdana" w:cs="Arial"/>
          <w:b/>
          <w:sz w:val="20"/>
          <w:szCs w:val="20"/>
        </w:rPr>
      </w:pPr>
      <w:r w:rsidRPr="00827042">
        <w:rPr>
          <w:rFonts w:ascii="Verdana" w:hAnsi="Verdana" w:cs="Arial"/>
          <w:b/>
          <w:sz w:val="20"/>
          <w:szCs w:val="20"/>
        </w:rPr>
        <w:t>Repo abierto</w:t>
      </w:r>
    </w:p>
    <w:p w14:paraId="76C2DB0B" w14:textId="223A9277" w:rsidR="00113420" w:rsidRPr="00D61EAE" w:rsidRDefault="00113420" w:rsidP="00E80793">
      <w:pPr>
        <w:spacing w:after="0" w:line="240" w:lineRule="auto"/>
        <w:jc w:val="both"/>
        <w:rPr>
          <w:rFonts w:ascii="Verdana" w:hAnsi="Verdana" w:cs="Arial"/>
          <w:bCs/>
          <w:sz w:val="20"/>
          <w:szCs w:val="20"/>
        </w:rPr>
      </w:pPr>
      <w:r w:rsidRPr="00D61EAE">
        <w:rPr>
          <w:rFonts w:ascii="Verdana" w:hAnsi="Verdana" w:cs="Arial"/>
          <w:bCs/>
          <w:sz w:val="20"/>
          <w:szCs w:val="20"/>
        </w:rPr>
        <w:t>3.7.2.</w:t>
      </w:r>
      <w:r w:rsidR="00757534">
        <w:rPr>
          <w:rFonts w:ascii="Verdana" w:hAnsi="Verdana" w:cs="Arial"/>
          <w:bCs/>
          <w:sz w:val="20"/>
          <w:szCs w:val="20"/>
        </w:rPr>
        <w:t>5</w:t>
      </w:r>
      <w:r w:rsidRPr="00D61EAE">
        <w:rPr>
          <w:rFonts w:ascii="Verdana" w:hAnsi="Verdana" w:cs="Arial"/>
          <w:bCs/>
          <w:sz w:val="20"/>
          <w:szCs w:val="20"/>
        </w:rPr>
        <w:t>.</w:t>
      </w:r>
    </w:p>
    <w:p w14:paraId="62F69384" w14:textId="7C1C12FB" w:rsidR="00862D77" w:rsidRPr="00B7296B" w:rsidRDefault="00862D77" w:rsidP="00B7296B">
      <w:pPr>
        <w:pStyle w:val="Prrafodelista"/>
        <w:ind w:left="0"/>
        <w:jc w:val="both"/>
        <w:rPr>
          <w:rFonts w:ascii="Verdana" w:hAnsi="Verdana" w:cs="Arial"/>
          <w:sz w:val="20"/>
          <w:szCs w:val="20"/>
        </w:rPr>
      </w:pPr>
      <w:r w:rsidRPr="004408F1">
        <w:rPr>
          <w:rFonts w:ascii="Verdana" w:hAnsi="Verdana" w:cs="Arial"/>
          <w:sz w:val="20"/>
          <w:szCs w:val="20"/>
        </w:rPr>
        <w:t>Es aquel en el cual se establece que no se inmovilizarán los valores objeto de la operación repo. En este evento, la transferencia de la propiedad se podrá realizar sobre valores de la misma especie y características.</w:t>
      </w:r>
      <w:r w:rsidRPr="00B7296B">
        <w:rPr>
          <w:rFonts w:ascii="Verdana" w:hAnsi="Verdana" w:cs="Arial"/>
          <w:sz w:val="20"/>
          <w:szCs w:val="20"/>
        </w:rPr>
        <w:t xml:space="preserve"> </w:t>
      </w:r>
    </w:p>
    <w:p w14:paraId="3A57CC0A" w14:textId="77777777" w:rsidR="00827042" w:rsidRPr="00827042" w:rsidRDefault="00827042" w:rsidP="00827042">
      <w:pPr>
        <w:pStyle w:val="Prrafodelista"/>
        <w:jc w:val="both"/>
        <w:rPr>
          <w:rFonts w:ascii="Verdana" w:hAnsi="Verdana" w:cs="Arial"/>
          <w:sz w:val="20"/>
          <w:szCs w:val="20"/>
        </w:rPr>
      </w:pPr>
    </w:p>
    <w:p w14:paraId="2A6F628F" w14:textId="48D8A5A7" w:rsidR="00113420" w:rsidRPr="00827042" w:rsidRDefault="00862D77" w:rsidP="00827042">
      <w:pPr>
        <w:pStyle w:val="Prrafodelista"/>
        <w:numPr>
          <w:ilvl w:val="0"/>
          <w:numId w:val="11"/>
        </w:numPr>
        <w:ind w:left="567" w:hanging="283"/>
        <w:jc w:val="both"/>
        <w:rPr>
          <w:rFonts w:ascii="Verdana" w:hAnsi="Verdana" w:cs="Arial"/>
          <w:sz w:val="20"/>
          <w:szCs w:val="20"/>
        </w:rPr>
      </w:pPr>
      <w:r w:rsidRPr="00827042">
        <w:rPr>
          <w:rFonts w:ascii="Verdana" w:hAnsi="Verdana" w:cs="Arial"/>
          <w:b/>
          <w:sz w:val="20"/>
          <w:szCs w:val="20"/>
        </w:rPr>
        <w:t xml:space="preserve">Repo cerrado </w:t>
      </w:r>
    </w:p>
    <w:p w14:paraId="114B126A" w14:textId="09DF93CD" w:rsidR="00113420" w:rsidRPr="00D61EAE" w:rsidRDefault="00113420" w:rsidP="00E80793">
      <w:pPr>
        <w:spacing w:after="0" w:line="240" w:lineRule="auto"/>
        <w:jc w:val="both"/>
        <w:rPr>
          <w:rFonts w:ascii="Verdana" w:hAnsi="Verdana" w:cs="Arial"/>
          <w:bCs/>
          <w:sz w:val="20"/>
          <w:szCs w:val="20"/>
        </w:rPr>
      </w:pPr>
      <w:r w:rsidRPr="00D61EAE">
        <w:rPr>
          <w:rFonts w:ascii="Verdana" w:hAnsi="Verdana" w:cs="Arial"/>
          <w:bCs/>
          <w:sz w:val="20"/>
          <w:szCs w:val="20"/>
        </w:rPr>
        <w:t>3.7.2.</w:t>
      </w:r>
      <w:r w:rsidR="00757534">
        <w:rPr>
          <w:rFonts w:ascii="Verdana" w:hAnsi="Verdana" w:cs="Arial"/>
          <w:bCs/>
          <w:sz w:val="20"/>
          <w:szCs w:val="20"/>
        </w:rPr>
        <w:t>6</w:t>
      </w:r>
      <w:r w:rsidRPr="00D61EAE">
        <w:rPr>
          <w:rFonts w:ascii="Verdana" w:hAnsi="Verdana" w:cs="Arial"/>
          <w:bCs/>
          <w:sz w:val="20"/>
          <w:szCs w:val="20"/>
        </w:rPr>
        <w:t>.</w:t>
      </w:r>
    </w:p>
    <w:p w14:paraId="3A007A6D" w14:textId="0E24DF18" w:rsidR="00862D77" w:rsidRDefault="00862D77" w:rsidP="00E80793">
      <w:pPr>
        <w:pStyle w:val="Prrafodelista"/>
        <w:ind w:left="0"/>
        <w:jc w:val="both"/>
        <w:rPr>
          <w:rFonts w:ascii="Verdana" w:hAnsi="Verdana" w:cs="Arial"/>
          <w:sz w:val="20"/>
          <w:szCs w:val="20"/>
        </w:rPr>
      </w:pPr>
      <w:r w:rsidRPr="004408F1">
        <w:rPr>
          <w:rFonts w:ascii="Verdana" w:hAnsi="Verdana" w:cs="Arial"/>
          <w:sz w:val="20"/>
          <w:szCs w:val="20"/>
        </w:rPr>
        <w:t xml:space="preserve">Es aquel en el cual se acuerda inmovilizar los valores objeto de la operación, razón por la cual el compromiso de transferencia de la </w:t>
      </w:r>
      <w:r w:rsidR="00D47C38" w:rsidRPr="004408F1">
        <w:rPr>
          <w:rFonts w:ascii="Verdana" w:hAnsi="Verdana" w:cs="Arial"/>
          <w:sz w:val="20"/>
          <w:szCs w:val="20"/>
        </w:rPr>
        <w:t>propiedad</w:t>
      </w:r>
      <w:r w:rsidRPr="004408F1">
        <w:rPr>
          <w:rFonts w:ascii="Verdana" w:hAnsi="Verdana" w:cs="Arial"/>
          <w:sz w:val="20"/>
          <w:szCs w:val="20"/>
        </w:rPr>
        <w:t xml:space="preserve"> se deberá realizar sobre los mismos valores inmovilizados, salvo que se haya establecido expresamente la sustitución de tales valores. Las operaciones de reporto o repo se presumirán cerradas salvo pacto expreso en contrario.</w:t>
      </w:r>
    </w:p>
    <w:p w14:paraId="07011BBA" w14:textId="77777777" w:rsidR="00061769" w:rsidRDefault="00061769" w:rsidP="00E80793">
      <w:pPr>
        <w:pStyle w:val="Prrafodelista"/>
        <w:ind w:left="0"/>
        <w:jc w:val="both"/>
        <w:rPr>
          <w:rFonts w:ascii="Verdana" w:hAnsi="Verdana" w:cs="Arial"/>
          <w:sz w:val="20"/>
          <w:szCs w:val="20"/>
        </w:rPr>
      </w:pPr>
    </w:p>
    <w:p w14:paraId="10DA57B9" w14:textId="77777777" w:rsidR="00043BFC" w:rsidRDefault="00043BFC" w:rsidP="00E80793">
      <w:pPr>
        <w:pStyle w:val="Prrafodelista"/>
        <w:ind w:left="0"/>
        <w:jc w:val="both"/>
        <w:rPr>
          <w:rFonts w:ascii="Verdana" w:hAnsi="Verdana" w:cs="Arial"/>
          <w:sz w:val="20"/>
          <w:szCs w:val="20"/>
        </w:rPr>
      </w:pPr>
    </w:p>
    <w:p w14:paraId="75264433" w14:textId="77777777" w:rsidR="00043BFC" w:rsidRDefault="00043BFC" w:rsidP="00E80793">
      <w:pPr>
        <w:pStyle w:val="Prrafodelista"/>
        <w:ind w:left="0"/>
        <w:jc w:val="both"/>
        <w:rPr>
          <w:rFonts w:ascii="Verdana" w:hAnsi="Verdana" w:cs="Arial"/>
          <w:sz w:val="20"/>
          <w:szCs w:val="20"/>
        </w:rPr>
      </w:pPr>
    </w:p>
    <w:p w14:paraId="6922E6CA" w14:textId="77777777" w:rsidR="00043BFC" w:rsidRDefault="00043BFC" w:rsidP="00E80793">
      <w:pPr>
        <w:pStyle w:val="Prrafodelista"/>
        <w:ind w:left="0"/>
        <w:jc w:val="both"/>
        <w:rPr>
          <w:rFonts w:ascii="Verdana" w:hAnsi="Verdana" w:cs="Arial"/>
          <w:sz w:val="20"/>
          <w:szCs w:val="20"/>
        </w:rPr>
      </w:pPr>
    </w:p>
    <w:p w14:paraId="71B8ECEC" w14:textId="515EC05A" w:rsidR="00061769" w:rsidRPr="00FD18A7" w:rsidRDefault="00061769" w:rsidP="00FD18A7">
      <w:pPr>
        <w:pStyle w:val="Prrafodelista"/>
        <w:numPr>
          <w:ilvl w:val="0"/>
          <w:numId w:val="10"/>
        </w:numPr>
        <w:ind w:left="284" w:hanging="284"/>
        <w:jc w:val="both"/>
        <w:rPr>
          <w:rFonts w:ascii="Verdana" w:hAnsi="Verdana" w:cs="Arial"/>
          <w:b/>
          <w:bCs/>
          <w:sz w:val="20"/>
          <w:szCs w:val="20"/>
        </w:rPr>
      </w:pPr>
      <w:r w:rsidRPr="00FD18A7">
        <w:rPr>
          <w:rFonts w:ascii="Verdana" w:hAnsi="Verdana" w:cs="Arial"/>
          <w:b/>
          <w:bCs/>
          <w:sz w:val="20"/>
          <w:szCs w:val="20"/>
        </w:rPr>
        <w:lastRenderedPageBreak/>
        <w:t>Operaci</w:t>
      </w:r>
      <w:r w:rsidR="00E81AB8">
        <w:rPr>
          <w:rFonts w:ascii="Verdana" w:hAnsi="Verdana" w:cs="Arial"/>
          <w:b/>
          <w:bCs/>
          <w:sz w:val="20"/>
          <w:szCs w:val="20"/>
        </w:rPr>
        <w:t xml:space="preserve">ones </w:t>
      </w:r>
      <w:r w:rsidRPr="00FD18A7">
        <w:rPr>
          <w:rFonts w:ascii="Verdana" w:hAnsi="Verdana" w:cs="Arial"/>
          <w:b/>
          <w:bCs/>
          <w:sz w:val="20"/>
          <w:szCs w:val="20"/>
        </w:rPr>
        <w:t>simult</w:t>
      </w:r>
      <w:r w:rsidR="00E81AB8">
        <w:rPr>
          <w:rFonts w:ascii="Verdana" w:hAnsi="Verdana" w:cs="Arial"/>
          <w:b/>
          <w:bCs/>
          <w:sz w:val="20"/>
          <w:szCs w:val="20"/>
        </w:rPr>
        <w:t>á</w:t>
      </w:r>
      <w:r w:rsidRPr="00FD18A7">
        <w:rPr>
          <w:rFonts w:ascii="Verdana" w:hAnsi="Verdana" w:cs="Arial"/>
          <w:b/>
          <w:bCs/>
          <w:sz w:val="20"/>
          <w:szCs w:val="20"/>
        </w:rPr>
        <w:t>nea</w:t>
      </w:r>
      <w:r w:rsidR="00E81AB8">
        <w:rPr>
          <w:rFonts w:ascii="Verdana" w:hAnsi="Verdana" w:cs="Arial"/>
          <w:b/>
          <w:bCs/>
          <w:sz w:val="20"/>
          <w:szCs w:val="20"/>
        </w:rPr>
        <w:t>s</w:t>
      </w:r>
    </w:p>
    <w:p w14:paraId="69C2D0F8" w14:textId="293A401C" w:rsidR="00E81AB8" w:rsidRDefault="00E81AB8" w:rsidP="00E81AB8">
      <w:pPr>
        <w:spacing w:after="0" w:line="240" w:lineRule="auto"/>
        <w:jc w:val="both"/>
        <w:rPr>
          <w:rFonts w:ascii="Verdana" w:hAnsi="Verdana" w:cs="Arial"/>
          <w:bCs/>
          <w:sz w:val="20"/>
          <w:szCs w:val="20"/>
        </w:rPr>
      </w:pPr>
      <w:r w:rsidRPr="00D61EAE">
        <w:rPr>
          <w:rFonts w:ascii="Verdana" w:hAnsi="Verdana" w:cs="Arial"/>
          <w:bCs/>
          <w:sz w:val="20"/>
          <w:szCs w:val="20"/>
        </w:rPr>
        <w:t>3.7.2.</w:t>
      </w:r>
      <w:r w:rsidR="00677F57">
        <w:rPr>
          <w:rFonts w:ascii="Verdana" w:hAnsi="Verdana" w:cs="Arial"/>
          <w:bCs/>
          <w:sz w:val="20"/>
          <w:szCs w:val="20"/>
        </w:rPr>
        <w:t>7</w:t>
      </w:r>
      <w:r>
        <w:rPr>
          <w:rFonts w:ascii="Verdana" w:hAnsi="Verdana" w:cs="Arial"/>
          <w:bCs/>
          <w:sz w:val="20"/>
          <w:szCs w:val="20"/>
        </w:rPr>
        <w:t>.</w:t>
      </w:r>
    </w:p>
    <w:p w14:paraId="29AE29AD" w14:textId="2D68184E" w:rsidR="00E81AB8" w:rsidRPr="00D61EAE" w:rsidRDefault="00E81AB8" w:rsidP="00E81AB8">
      <w:pPr>
        <w:spacing w:after="0" w:line="240" w:lineRule="auto"/>
        <w:jc w:val="both"/>
        <w:rPr>
          <w:rFonts w:ascii="Verdana" w:hAnsi="Verdana" w:cs="Arial"/>
          <w:bCs/>
          <w:sz w:val="20"/>
          <w:szCs w:val="20"/>
        </w:rPr>
      </w:pPr>
      <w:r>
        <w:rPr>
          <w:rFonts w:ascii="Verdana" w:hAnsi="Verdana" w:cs="Arial"/>
          <w:bCs/>
          <w:sz w:val="20"/>
          <w:szCs w:val="20"/>
        </w:rPr>
        <w:t xml:space="preserve">Son las operaciones a </w:t>
      </w:r>
      <w:r w:rsidR="00043BFC">
        <w:rPr>
          <w:rFonts w:ascii="Verdana" w:hAnsi="Verdana" w:cs="Arial"/>
          <w:bCs/>
          <w:sz w:val="20"/>
          <w:szCs w:val="20"/>
        </w:rPr>
        <w:t xml:space="preserve">las </w:t>
      </w:r>
      <w:r>
        <w:rPr>
          <w:rFonts w:ascii="Verdana" w:hAnsi="Verdana" w:cs="Arial"/>
          <w:bCs/>
          <w:sz w:val="20"/>
          <w:szCs w:val="20"/>
        </w:rPr>
        <w:t xml:space="preserve">que se hace referencia </w:t>
      </w:r>
      <w:r w:rsidR="00E073B5">
        <w:rPr>
          <w:rFonts w:ascii="Verdana" w:hAnsi="Verdana" w:cs="Arial"/>
          <w:bCs/>
          <w:sz w:val="20"/>
          <w:szCs w:val="20"/>
        </w:rPr>
        <w:t>en el a</w:t>
      </w:r>
      <w:r w:rsidR="00E073B5" w:rsidRPr="00FD18A7">
        <w:rPr>
          <w:rFonts w:ascii="Verdana" w:hAnsi="Verdana" w:cs="Arial"/>
          <w:bCs/>
          <w:sz w:val="20"/>
          <w:szCs w:val="20"/>
        </w:rPr>
        <w:t>rtículo 2.36.3.1.2</w:t>
      </w:r>
      <w:r w:rsidR="00E073B5">
        <w:rPr>
          <w:rFonts w:ascii="Verdana" w:hAnsi="Verdana" w:cs="Arial"/>
          <w:bCs/>
          <w:sz w:val="20"/>
          <w:szCs w:val="20"/>
        </w:rPr>
        <w:t xml:space="preserve"> del Decreto 2555 de 2010</w:t>
      </w:r>
      <w:r w:rsidR="009E6843">
        <w:rPr>
          <w:rFonts w:ascii="Verdana" w:hAnsi="Verdana" w:cs="Arial"/>
          <w:bCs/>
          <w:sz w:val="20"/>
          <w:szCs w:val="20"/>
        </w:rPr>
        <w:t xml:space="preserve">, </w:t>
      </w:r>
      <w:r w:rsidR="00603A58">
        <w:rPr>
          <w:rFonts w:ascii="Verdana" w:hAnsi="Verdana" w:cs="Arial"/>
          <w:bCs/>
          <w:sz w:val="20"/>
          <w:szCs w:val="20"/>
        </w:rPr>
        <w:t xml:space="preserve">en las que la parte enajenante transfiere la propiedad </w:t>
      </w:r>
      <w:r w:rsidR="0060757A">
        <w:rPr>
          <w:rFonts w:ascii="Verdana" w:hAnsi="Verdana" w:cs="Arial"/>
          <w:bCs/>
          <w:sz w:val="20"/>
          <w:szCs w:val="20"/>
        </w:rPr>
        <w:t xml:space="preserve">de valores a otra a cambio del pago de dinero y el adquiriente se compromete a transferir al </w:t>
      </w:r>
      <w:proofErr w:type="gramStart"/>
      <w:r w:rsidR="00043BFC">
        <w:rPr>
          <w:rFonts w:ascii="Verdana" w:hAnsi="Verdana" w:cs="Arial"/>
          <w:bCs/>
          <w:sz w:val="20"/>
          <w:szCs w:val="20"/>
        </w:rPr>
        <w:t>enajenante</w:t>
      </w:r>
      <w:r w:rsidR="003B3DF2">
        <w:rPr>
          <w:rFonts w:ascii="Verdana" w:hAnsi="Verdana" w:cs="Arial"/>
          <w:bCs/>
          <w:sz w:val="20"/>
          <w:szCs w:val="20"/>
        </w:rPr>
        <w:t xml:space="preserve"> </w:t>
      </w:r>
      <w:r w:rsidR="00BB3151">
        <w:rPr>
          <w:rFonts w:ascii="Verdana" w:hAnsi="Verdana" w:cs="Arial"/>
          <w:bCs/>
          <w:sz w:val="20"/>
          <w:szCs w:val="20"/>
        </w:rPr>
        <w:t>valores</w:t>
      </w:r>
      <w:proofErr w:type="gramEnd"/>
      <w:r w:rsidR="00BB3151">
        <w:rPr>
          <w:rFonts w:ascii="Verdana" w:hAnsi="Verdana" w:cs="Arial"/>
          <w:bCs/>
          <w:sz w:val="20"/>
          <w:szCs w:val="20"/>
        </w:rPr>
        <w:t xml:space="preserve"> de la misma especie y características a cambio d</w:t>
      </w:r>
      <w:r w:rsidR="00E857E2">
        <w:rPr>
          <w:rFonts w:ascii="Verdana" w:hAnsi="Verdana" w:cs="Arial"/>
          <w:bCs/>
          <w:sz w:val="20"/>
          <w:szCs w:val="20"/>
        </w:rPr>
        <w:t>el pago de dinero</w:t>
      </w:r>
      <w:r w:rsidR="009E6843">
        <w:rPr>
          <w:rFonts w:ascii="Verdana" w:hAnsi="Verdana" w:cs="Arial"/>
          <w:bCs/>
          <w:sz w:val="20"/>
          <w:szCs w:val="20"/>
        </w:rPr>
        <w:t>, en una fecha definida</w:t>
      </w:r>
      <w:r w:rsidR="00C25003" w:rsidRPr="00FD18A7">
        <w:rPr>
          <w:rFonts w:ascii="Verdana" w:hAnsi="Verdana" w:cs="Arial"/>
          <w:bCs/>
          <w:sz w:val="20"/>
          <w:szCs w:val="20"/>
        </w:rPr>
        <w:t>.</w:t>
      </w:r>
    </w:p>
    <w:p w14:paraId="2FF8804B" w14:textId="5179270F" w:rsidR="00541249" w:rsidRPr="00280521" w:rsidRDefault="00541249" w:rsidP="00280521">
      <w:pPr>
        <w:rPr>
          <w:rFonts w:ascii="Verdana" w:hAnsi="Verdana" w:cs="Arial"/>
          <w:b/>
          <w:sz w:val="20"/>
          <w:szCs w:val="20"/>
        </w:rPr>
      </w:pPr>
    </w:p>
    <w:p w14:paraId="3B69A133" w14:textId="2C7BA159" w:rsidR="00862D77" w:rsidRPr="00827042" w:rsidRDefault="00862D77" w:rsidP="00BB065F">
      <w:pPr>
        <w:pStyle w:val="Prrafodelista"/>
        <w:numPr>
          <w:ilvl w:val="0"/>
          <w:numId w:val="10"/>
        </w:numPr>
        <w:ind w:left="284" w:hanging="284"/>
        <w:jc w:val="both"/>
        <w:rPr>
          <w:rFonts w:ascii="Verdana" w:hAnsi="Verdana" w:cs="Arial"/>
          <w:b/>
          <w:sz w:val="20"/>
          <w:szCs w:val="20"/>
        </w:rPr>
      </w:pPr>
      <w:r w:rsidRPr="00827042">
        <w:rPr>
          <w:rFonts w:ascii="Verdana" w:hAnsi="Verdana" w:cs="Arial"/>
          <w:b/>
          <w:sz w:val="20"/>
          <w:szCs w:val="20"/>
        </w:rPr>
        <w:t>Operación de transferencia temporal de valores (TTV)</w:t>
      </w:r>
    </w:p>
    <w:p w14:paraId="53999724" w14:textId="6F21B540" w:rsidR="00113420" w:rsidRPr="00D61EAE" w:rsidRDefault="00113420" w:rsidP="00113420">
      <w:pPr>
        <w:spacing w:after="0" w:line="240" w:lineRule="auto"/>
        <w:jc w:val="both"/>
        <w:rPr>
          <w:rFonts w:ascii="Verdana" w:hAnsi="Verdana" w:cs="Arial"/>
          <w:bCs/>
          <w:sz w:val="20"/>
          <w:szCs w:val="20"/>
        </w:rPr>
      </w:pPr>
      <w:r w:rsidRPr="00D61EAE">
        <w:rPr>
          <w:rFonts w:ascii="Verdana" w:hAnsi="Verdana" w:cs="Arial"/>
          <w:bCs/>
          <w:sz w:val="20"/>
          <w:szCs w:val="20"/>
        </w:rPr>
        <w:t>3.7.2.</w:t>
      </w:r>
      <w:r w:rsidR="00677F57">
        <w:rPr>
          <w:rFonts w:ascii="Verdana" w:hAnsi="Verdana" w:cs="Arial"/>
          <w:bCs/>
          <w:sz w:val="20"/>
          <w:szCs w:val="20"/>
        </w:rPr>
        <w:t>8</w:t>
      </w:r>
      <w:r w:rsidRPr="00D61EAE">
        <w:rPr>
          <w:rFonts w:ascii="Verdana" w:hAnsi="Verdana" w:cs="Arial"/>
          <w:bCs/>
          <w:sz w:val="20"/>
          <w:szCs w:val="20"/>
        </w:rPr>
        <w:t>.</w:t>
      </w:r>
    </w:p>
    <w:p w14:paraId="1B448675" w14:textId="01DBC5CF" w:rsidR="00AB3C45" w:rsidRPr="00D61EAE" w:rsidRDefault="00862D77" w:rsidP="00862D77">
      <w:pPr>
        <w:jc w:val="both"/>
        <w:rPr>
          <w:rFonts w:ascii="Verdana" w:hAnsi="Verdana" w:cs="Arial"/>
          <w:sz w:val="20"/>
          <w:szCs w:val="20"/>
          <w:lang w:val="es-ES" w:eastAsia="es-ES"/>
        </w:rPr>
      </w:pPr>
      <w:r w:rsidRPr="00D61EAE">
        <w:rPr>
          <w:rFonts w:ascii="Verdana" w:hAnsi="Verdana" w:cs="Arial"/>
          <w:sz w:val="20"/>
          <w:szCs w:val="20"/>
          <w:lang w:val="es-ES" w:eastAsia="es-ES"/>
        </w:rPr>
        <w:t xml:space="preserve">Las operaciones </w:t>
      </w:r>
      <w:r w:rsidR="00791418">
        <w:rPr>
          <w:rFonts w:ascii="Verdana" w:hAnsi="Verdana" w:cs="Arial"/>
          <w:sz w:val="20"/>
          <w:szCs w:val="20"/>
          <w:lang w:val="es-ES" w:eastAsia="es-ES"/>
        </w:rPr>
        <w:t xml:space="preserve">TTV </w:t>
      </w:r>
      <w:r w:rsidRPr="00D61EAE">
        <w:rPr>
          <w:rFonts w:ascii="Verdana" w:hAnsi="Verdana" w:cs="Arial"/>
          <w:sz w:val="20"/>
          <w:szCs w:val="20"/>
          <w:lang w:val="es-ES" w:eastAsia="es-ES"/>
        </w:rPr>
        <w:t>pueden corresponder a 2 modalidades</w:t>
      </w:r>
      <w:r w:rsidR="00791418">
        <w:rPr>
          <w:rFonts w:ascii="Verdana" w:hAnsi="Verdana" w:cs="Arial"/>
          <w:sz w:val="20"/>
          <w:szCs w:val="20"/>
          <w:lang w:val="es-ES" w:eastAsia="es-ES"/>
        </w:rPr>
        <w:t>:</w:t>
      </w:r>
    </w:p>
    <w:p w14:paraId="26ACACFC" w14:textId="14AD5A9C" w:rsidR="00113420" w:rsidRPr="00791418" w:rsidRDefault="00862D77" w:rsidP="00791418">
      <w:pPr>
        <w:pStyle w:val="Prrafodelista"/>
        <w:numPr>
          <w:ilvl w:val="0"/>
          <w:numId w:val="11"/>
        </w:numPr>
        <w:ind w:left="567" w:hanging="283"/>
        <w:jc w:val="both"/>
        <w:rPr>
          <w:rFonts w:ascii="Verdana" w:hAnsi="Verdana" w:cs="Arial"/>
          <w:sz w:val="20"/>
          <w:szCs w:val="20"/>
          <w:lang w:val="es-ES" w:eastAsia="es-ES"/>
        </w:rPr>
      </w:pPr>
      <w:r w:rsidRPr="00791418">
        <w:rPr>
          <w:rFonts w:ascii="Verdana" w:hAnsi="Verdana" w:cs="Arial"/>
          <w:b/>
          <w:sz w:val="20"/>
          <w:szCs w:val="20"/>
          <w:lang w:val="es-ES" w:eastAsia="es-ES"/>
        </w:rPr>
        <w:t xml:space="preserve">TTV valores contra valores </w:t>
      </w:r>
    </w:p>
    <w:p w14:paraId="497515CA" w14:textId="128366BA" w:rsidR="00113420" w:rsidRPr="00D61EAE" w:rsidRDefault="00113420" w:rsidP="00BB065F">
      <w:pPr>
        <w:spacing w:after="0" w:line="240" w:lineRule="auto"/>
        <w:jc w:val="both"/>
        <w:rPr>
          <w:rFonts w:ascii="Verdana" w:hAnsi="Verdana" w:cs="Arial"/>
          <w:bCs/>
          <w:sz w:val="20"/>
          <w:szCs w:val="20"/>
        </w:rPr>
      </w:pPr>
      <w:r w:rsidRPr="00D61EAE">
        <w:rPr>
          <w:rFonts w:ascii="Verdana" w:hAnsi="Verdana" w:cs="Arial"/>
          <w:bCs/>
          <w:sz w:val="20"/>
          <w:szCs w:val="20"/>
        </w:rPr>
        <w:t>3.7.2.</w:t>
      </w:r>
      <w:r w:rsidR="00677F57">
        <w:rPr>
          <w:rFonts w:ascii="Verdana" w:hAnsi="Verdana" w:cs="Arial"/>
          <w:bCs/>
          <w:sz w:val="20"/>
          <w:szCs w:val="20"/>
        </w:rPr>
        <w:t>9</w:t>
      </w:r>
      <w:r w:rsidRPr="00D61EAE">
        <w:rPr>
          <w:rFonts w:ascii="Verdana" w:hAnsi="Verdana" w:cs="Arial"/>
          <w:bCs/>
          <w:sz w:val="20"/>
          <w:szCs w:val="20"/>
        </w:rPr>
        <w:t>.</w:t>
      </w:r>
    </w:p>
    <w:p w14:paraId="0F8A24A0" w14:textId="0CBF6C5C" w:rsidR="00862D77" w:rsidRDefault="00862D77" w:rsidP="00BB065F">
      <w:pPr>
        <w:pStyle w:val="Prrafodelista"/>
        <w:ind w:left="0"/>
        <w:jc w:val="both"/>
        <w:rPr>
          <w:rFonts w:ascii="Verdana" w:hAnsi="Verdana" w:cs="Arial"/>
          <w:sz w:val="20"/>
          <w:szCs w:val="20"/>
          <w:lang w:val="es-ES" w:eastAsia="es-ES"/>
        </w:rPr>
      </w:pPr>
      <w:r w:rsidRPr="004408F1">
        <w:rPr>
          <w:rFonts w:ascii="Verdana" w:hAnsi="Verdana" w:cs="Arial"/>
          <w:sz w:val="20"/>
          <w:szCs w:val="20"/>
          <w:lang w:val="es-ES" w:eastAsia="es-ES"/>
        </w:rPr>
        <w:t>Es aquella</w:t>
      </w:r>
      <w:r w:rsidRPr="004408F1">
        <w:rPr>
          <w:rFonts w:ascii="Verdana" w:hAnsi="Verdana" w:cs="Arial"/>
          <w:b/>
          <w:sz w:val="20"/>
          <w:szCs w:val="20"/>
          <w:lang w:val="es-ES" w:eastAsia="es-ES"/>
        </w:rPr>
        <w:t xml:space="preserve"> </w:t>
      </w:r>
      <w:r w:rsidRPr="004408F1">
        <w:rPr>
          <w:rFonts w:ascii="Verdana" w:hAnsi="Verdana" w:cs="Arial"/>
          <w:sz w:val="20"/>
          <w:szCs w:val="20"/>
          <w:lang w:val="es-ES" w:eastAsia="es-ES"/>
        </w:rPr>
        <w:t xml:space="preserve">en la cual el originador recibe del receptor valores como respaldo de la operación. </w:t>
      </w:r>
    </w:p>
    <w:p w14:paraId="4580BE78" w14:textId="77777777" w:rsidR="00FE70AD" w:rsidRPr="004408F1" w:rsidRDefault="00FE70AD" w:rsidP="00BB065F">
      <w:pPr>
        <w:pStyle w:val="Prrafodelista"/>
        <w:ind w:left="0"/>
        <w:jc w:val="both"/>
        <w:rPr>
          <w:rFonts w:ascii="Verdana" w:hAnsi="Verdana" w:cs="Arial"/>
          <w:sz w:val="20"/>
          <w:szCs w:val="20"/>
          <w:lang w:val="es-ES" w:eastAsia="es-ES"/>
        </w:rPr>
      </w:pPr>
    </w:p>
    <w:p w14:paraId="1DDC7BD0" w14:textId="24A498B9" w:rsidR="00113420" w:rsidRPr="00791418" w:rsidRDefault="00862D77" w:rsidP="00791418">
      <w:pPr>
        <w:pStyle w:val="Prrafodelista"/>
        <w:numPr>
          <w:ilvl w:val="0"/>
          <w:numId w:val="11"/>
        </w:numPr>
        <w:ind w:left="567" w:hanging="283"/>
        <w:jc w:val="both"/>
        <w:rPr>
          <w:rFonts w:ascii="Verdana" w:hAnsi="Verdana" w:cs="Arial"/>
          <w:sz w:val="20"/>
          <w:szCs w:val="20"/>
          <w:lang w:val="es-ES" w:eastAsia="es-ES"/>
        </w:rPr>
      </w:pPr>
      <w:r w:rsidRPr="00791418">
        <w:rPr>
          <w:rFonts w:ascii="Verdana" w:hAnsi="Verdana" w:cs="Arial"/>
          <w:b/>
          <w:sz w:val="20"/>
          <w:szCs w:val="20"/>
          <w:lang w:val="es-ES" w:eastAsia="es-ES"/>
        </w:rPr>
        <w:t>TTV valores contra dinero</w:t>
      </w:r>
    </w:p>
    <w:p w14:paraId="2E869E26" w14:textId="106B8F98" w:rsidR="00113420" w:rsidRPr="00D61EAE" w:rsidRDefault="00113420" w:rsidP="00BB065F">
      <w:pPr>
        <w:spacing w:after="0" w:line="240" w:lineRule="auto"/>
        <w:jc w:val="both"/>
        <w:rPr>
          <w:rFonts w:ascii="Verdana" w:hAnsi="Verdana" w:cs="Arial"/>
          <w:bCs/>
          <w:sz w:val="20"/>
          <w:szCs w:val="20"/>
        </w:rPr>
      </w:pPr>
      <w:r w:rsidRPr="00D61EAE">
        <w:rPr>
          <w:rFonts w:ascii="Verdana" w:hAnsi="Verdana" w:cs="Arial"/>
          <w:bCs/>
          <w:sz w:val="20"/>
          <w:szCs w:val="20"/>
        </w:rPr>
        <w:t>3.7.2.</w:t>
      </w:r>
      <w:r w:rsidR="00A038B7">
        <w:rPr>
          <w:rFonts w:ascii="Verdana" w:hAnsi="Verdana" w:cs="Arial"/>
          <w:bCs/>
          <w:sz w:val="20"/>
          <w:szCs w:val="20"/>
        </w:rPr>
        <w:t>10</w:t>
      </w:r>
      <w:r w:rsidRPr="00D61EAE">
        <w:rPr>
          <w:rFonts w:ascii="Verdana" w:hAnsi="Verdana" w:cs="Arial"/>
          <w:bCs/>
          <w:sz w:val="20"/>
          <w:szCs w:val="20"/>
        </w:rPr>
        <w:t>.</w:t>
      </w:r>
    </w:p>
    <w:p w14:paraId="1E570B52" w14:textId="77777777" w:rsidR="0002613C" w:rsidRDefault="00862D77" w:rsidP="00791418">
      <w:pPr>
        <w:pStyle w:val="Prrafodelista"/>
        <w:ind w:left="0"/>
        <w:jc w:val="both"/>
        <w:rPr>
          <w:rFonts w:ascii="Verdana" w:hAnsi="Verdana" w:cs="Arial"/>
          <w:sz w:val="20"/>
          <w:szCs w:val="20"/>
          <w:lang w:val="es-ES" w:eastAsia="es-ES"/>
        </w:rPr>
      </w:pPr>
      <w:r w:rsidRPr="004408F1">
        <w:rPr>
          <w:rFonts w:ascii="Verdana" w:hAnsi="Verdana" w:cs="Arial"/>
          <w:sz w:val="20"/>
          <w:szCs w:val="20"/>
          <w:lang w:val="es-ES" w:eastAsia="es-ES"/>
        </w:rPr>
        <w:t>Es aquella</w:t>
      </w:r>
      <w:r w:rsidRPr="004408F1">
        <w:rPr>
          <w:rFonts w:ascii="Verdana" w:hAnsi="Verdana" w:cs="Arial"/>
          <w:b/>
          <w:sz w:val="20"/>
          <w:szCs w:val="20"/>
          <w:lang w:val="es-ES" w:eastAsia="es-ES"/>
        </w:rPr>
        <w:t xml:space="preserve"> </w:t>
      </w:r>
      <w:r w:rsidRPr="004408F1">
        <w:rPr>
          <w:rFonts w:ascii="Verdana" w:hAnsi="Verdana" w:cs="Arial"/>
          <w:sz w:val="20"/>
          <w:szCs w:val="20"/>
          <w:lang w:val="es-ES" w:eastAsia="es-ES"/>
        </w:rPr>
        <w:t>en la cual el receptor respalda la realización de la operación con la entrega de recursos dinerarios.</w:t>
      </w:r>
    </w:p>
    <w:p w14:paraId="39FC414B" w14:textId="77777777" w:rsidR="003B3DF2" w:rsidRDefault="003B3DF2" w:rsidP="003B3DF2">
      <w:pPr>
        <w:pStyle w:val="Prrafodelista"/>
        <w:ind w:left="0"/>
        <w:jc w:val="both"/>
        <w:rPr>
          <w:rFonts w:ascii="Verdana" w:hAnsi="Verdana" w:cs="Arial"/>
          <w:b/>
          <w:sz w:val="20"/>
          <w:szCs w:val="20"/>
        </w:rPr>
      </w:pPr>
    </w:p>
    <w:p w14:paraId="3A1D1E31" w14:textId="28E0251B" w:rsidR="00862D77" w:rsidRPr="00550721" w:rsidRDefault="00862D77" w:rsidP="00FD18A7">
      <w:pPr>
        <w:pStyle w:val="Prrafodelista"/>
        <w:ind w:left="0"/>
        <w:jc w:val="both"/>
        <w:rPr>
          <w:rFonts w:ascii="Verdana" w:hAnsi="Verdana" w:cs="Arial"/>
          <w:b/>
          <w:sz w:val="20"/>
          <w:szCs w:val="20"/>
        </w:rPr>
      </w:pPr>
      <w:r w:rsidRPr="00550721">
        <w:rPr>
          <w:rFonts w:ascii="Verdana" w:hAnsi="Verdana" w:cs="Arial"/>
          <w:b/>
          <w:sz w:val="20"/>
          <w:szCs w:val="20"/>
        </w:rPr>
        <w:t>Fondos interbancarios</w:t>
      </w:r>
    </w:p>
    <w:p w14:paraId="2A9EC149" w14:textId="79EDD2DD" w:rsidR="00080C7F" w:rsidRPr="00080C7F" w:rsidRDefault="00080C7F" w:rsidP="00080C7F">
      <w:pPr>
        <w:spacing w:after="0" w:line="240" w:lineRule="auto"/>
        <w:jc w:val="both"/>
        <w:rPr>
          <w:rFonts w:ascii="Verdana" w:hAnsi="Verdana" w:cs="Arial"/>
          <w:bCs/>
          <w:sz w:val="20"/>
          <w:szCs w:val="20"/>
        </w:rPr>
      </w:pPr>
      <w:r w:rsidRPr="00080C7F">
        <w:rPr>
          <w:rFonts w:ascii="Verdana" w:hAnsi="Verdana" w:cs="Arial"/>
          <w:bCs/>
          <w:sz w:val="20"/>
          <w:szCs w:val="20"/>
        </w:rPr>
        <w:t>3.7.2.</w:t>
      </w:r>
      <w:r w:rsidR="00757534">
        <w:rPr>
          <w:rFonts w:ascii="Verdana" w:hAnsi="Verdana" w:cs="Arial"/>
          <w:bCs/>
          <w:sz w:val="20"/>
          <w:szCs w:val="20"/>
        </w:rPr>
        <w:t>1</w:t>
      </w:r>
      <w:r w:rsidR="00A038B7">
        <w:rPr>
          <w:rFonts w:ascii="Verdana" w:hAnsi="Verdana" w:cs="Arial"/>
          <w:bCs/>
          <w:sz w:val="20"/>
          <w:szCs w:val="20"/>
        </w:rPr>
        <w:t>1</w:t>
      </w:r>
      <w:r w:rsidRPr="00080C7F">
        <w:rPr>
          <w:rFonts w:ascii="Verdana" w:hAnsi="Verdana" w:cs="Arial"/>
          <w:bCs/>
          <w:sz w:val="20"/>
          <w:szCs w:val="20"/>
        </w:rPr>
        <w:t>.</w:t>
      </w:r>
    </w:p>
    <w:p w14:paraId="7028DE40" w14:textId="77777777" w:rsidR="00862D77" w:rsidRPr="000F5A1F" w:rsidRDefault="00862D77" w:rsidP="000F5A1F">
      <w:pPr>
        <w:jc w:val="both"/>
        <w:rPr>
          <w:rFonts w:ascii="Verdana" w:hAnsi="Verdana" w:cs="Arial"/>
          <w:sz w:val="20"/>
          <w:szCs w:val="20"/>
        </w:rPr>
      </w:pPr>
      <w:r w:rsidRPr="000F5A1F">
        <w:rPr>
          <w:rFonts w:ascii="Verdana" w:hAnsi="Verdana" w:cs="Arial"/>
          <w:sz w:val="20"/>
          <w:szCs w:val="20"/>
        </w:rPr>
        <w:t xml:space="preserve">Se consideran fondos interbancarios aquellos que coloca (o recibe) una entidad vigilada en (o de) otra entidad vigilada, sin que medie un pacto de transferencia de inversiones o de cartera de créditos. Cuando la operación implique la transferencia de inversiones o de cartera, se considerará que la operación cuenta con garantías para su realización. </w:t>
      </w:r>
    </w:p>
    <w:p w14:paraId="59E38C3F" w14:textId="393575AE" w:rsidR="00080C7F" w:rsidRPr="00080C7F" w:rsidRDefault="00080C7F" w:rsidP="00080C7F">
      <w:pPr>
        <w:spacing w:after="0" w:line="240" w:lineRule="auto"/>
        <w:jc w:val="both"/>
        <w:rPr>
          <w:rFonts w:ascii="Verdana" w:hAnsi="Verdana" w:cs="Arial"/>
          <w:bCs/>
          <w:sz w:val="20"/>
          <w:szCs w:val="20"/>
        </w:rPr>
      </w:pPr>
      <w:r w:rsidRPr="00080C7F">
        <w:rPr>
          <w:rFonts w:ascii="Verdana" w:hAnsi="Verdana" w:cs="Arial"/>
          <w:bCs/>
          <w:sz w:val="20"/>
          <w:szCs w:val="20"/>
        </w:rPr>
        <w:t>3.7.2.</w:t>
      </w:r>
      <w:r>
        <w:rPr>
          <w:rFonts w:ascii="Verdana" w:hAnsi="Verdana" w:cs="Arial"/>
          <w:bCs/>
          <w:sz w:val="20"/>
          <w:szCs w:val="20"/>
        </w:rPr>
        <w:t>1</w:t>
      </w:r>
      <w:r w:rsidR="00A038B7">
        <w:rPr>
          <w:rFonts w:ascii="Verdana" w:hAnsi="Verdana" w:cs="Arial"/>
          <w:bCs/>
          <w:sz w:val="20"/>
          <w:szCs w:val="20"/>
        </w:rPr>
        <w:t>2</w:t>
      </w:r>
      <w:r w:rsidRPr="00080C7F">
        <w:rPr>
          <w:rFonts w:ascii="Verdana" w:hAnsi="Verdana" w:cs="Arial"/>
          <w:bCs/>
          <w:sz w:val="20"/>
          <w:szCs w:val="20"/>
        </w:rPr>
        <w:t>.</w:t>
      </w:r>
    </w:p>
    <w:p w14:paraId="538649ED" w14:textId="13621C92" w:rsidR="00862D77" w:rsidRPr="000F5A1F" w:rsidRDefault="00862D77" w:rsidP="000F5A1F">
      <w:pPr>
        <w:jc w:val="both"/>
        <w:rPr>
          <w:rFonts w:ascii="Verdana" w:hAnsi="Verdana" w:cs="Arial"/>
          <w:sz w:val="20"/>
          <w:szCs w:val="20"/>
        </w:rPr>
      </w:pPr>
      <w:r w:rsidRPr="00D61EAE">
        <w:rPr>
          <w:rFonts w:ascii="Verdana" w:hAnsi="Verdana" w:cs="Arial"/>
          <w:sz w:val="20"/>
          <w:szCs w:val="20"/>
        </w:rPr>
        <w:t xml:space="preserve">Las operaciones de fondos interbancarios comprenden igualmente las transacciones denominadas </w:t>
      </w:r>
      <w:proofErr w:type="spellStart"/>
      <w:r w:rsidRPr="00D61EAE">
        <w:rPr>
          <w:rFonts w:ascii="Verdana" w:hAnsi="Verdana" w:cs="Arial"/>
          <w:i/>
          <w:iCs/>
          <w:sz w:val="20"/>
          <w:szCs w:val="20"/>
        </w:rPr>
        <w:t>over</w:t>
      </w:r>
      <w:r w:rsidRPr="00D61EAE">
        <w:rPr>
          <w:rFonts w:ascii="Verdana" w:hAnsi="Verdana" w:cs="Arial"/>
          <w:i/>
          <w:iCs/>
          <w:sz w:val="20"/>
          <w:szCs w:val="20"/>
        </w:rPr>
        <w:noBreakHyphen/>
        <w:t>night</w:t>
      </w:r>
      <w:proofErr w:type="spellEnd"/>
      <w:r w:rsidRPr="00D61EAE">
        <w:rPr>
          <w:rFonts w:ascii="Verdana" w:hAnsi="Verdana" w:cs="Arial"/>
          <w:sz w:val="20"/>
          <w:szCs w:val="20"/>
        </w:rPr>
        <w:t>, realizadas con bancos del exterior utilizando fondos de la entidad financiera nacional.</w:t>
      </w:r>
    </w:p>
    <w:p w14:paraId="554C6248" w14:textId="3183483C" w:rsidR="00080C7F" w:rsidRPr="00080C7F" w:rsidRDefault="00080C7F" w:rsidP="00080C7F">
      <w:pPr>
        <w:spacing w:after="0" w:line="240" w:lineRule="auto"/>
        <w:jc w:val="both"/>
        <w:rPr>
          <w:rFonts w:ascii="Verdana" w:hAnsi="Verdana" w:cs="Arial"/>
          <w:bCs/>
          <w:sz w:val="20"/>
          <w:szCs w:val="20"/>
        </w:rPr>
      </w:pPr>
      <w:r w:rsidRPr="00080C7F">
        <w:rPr>
          <w:rFonts w:ascii="Verdana" w:hAnsi="Verdana" w:cs="Arial"/>
          <w:bCs/>
          <w:sz w:val="20"/>
          <w:szCs w:val="20"/>
        </w:rPr>
        <w:t>3.7.2.</w:t>
      </w:r>
      <w:r>
        <w:rPr>
          <w:rFonts w:ascii="Verdana" w:hAnsi="Verdana" w:cs="Arial"/>
          <w:bCs/>
          <w:sz w:val="20"/>
          <w:szCs w:val="20"/>
        </w:rPr>
        <w:t>1</w:t>
      </w:r>
      <w:r w:rsidR="00A038B7">
        <w:rPr>
          <w:rFonts w:ascii="Verdana" w:hAnsi="Verdana" w:cs="Arial"/>
          <w:bCs/>
          <w:sz w:val="20"/>
          <w:szCs w:val="20"/>
        </w:rPr>
        <w:t>3</w:t>
      </w:r>
      <w:r w:rsidRPr="00080C7F">
        <w:rPr>
          <w:rFonts w:ascii="Verdana" w:hAnsi="Verdana" w:cs="Arial"/>
          <w:bCs/>
          <w:sz w:val="20"/>
          <w:szCs w:val="20"/>
        </w:rPr>
        <w:t>.</w:t>
      </w:r>
    </w:p>
    <w:p w14:paraId="5ABF2D85" w14:textId="0FD4A3DF" w:rsidR="00862D77" w:rsidRPr="000F5A1F" w:rsidRDefault="00862D77" w:rsidP="000F5A1F">
      <w:pPr>
        <w:jc w:val="both"/>
        <w:rPr>
          <w:rFonts w:ascii="Verdana" w:hAnsi="Verdana" w:cs="Arial"/>
          <w:sz w:val="20"/>
          <w:szCs w:val="20"/>
        </w:rPr>
      </w:pPr>
      <w:r w:rsidRPr="000F5A1F">
        <w:rPr>
          <w:rFonts w:ascii="Verdana" w:hAnsi="Verdana" w:cs="Arial"/>
          <w:sz w:val="20"/>
          <w:szCs w:val="20"/>
        </w:rPr>
        <w:t xml:space="preserve">Se consideran fondos </w:t>
      </w:r>
      <w:proofErr w:type="spellStart"/>
      <w:r w:rsidRPr="000F5A1F">
        <w:rPr>
          <w:rFonts w:ascii="Verdana" w:hAnsi="Verdana" w:cs="Arial"/>
          <w:sz w:val="20"/>
          <w:szCs w:val="20"/>
        </w:rPr>
        <w:t>interasociados</w:t>
      </w:r>
      <w:proofErr w:type="spellEnd"/>
      <w:r w:rsidRPr="000F5A1F">
        <w:rPr>
          <w:rFonts w:ascii="Verdana" w:hAnsi="Verdana" w:cs="Arial"/>
          <w:sz w:val="20"/>
          <w:szCs w:val="20"/>
        </w:rPr>
        <w:t xml:space="preserve"> aquellos que coloca (recibe) una entidad aseguradora o sociedad de capitalización en (de) otra entidad aseguradora o sociedad de capitalización en forma directa sin que medie la existencia de un pacto de transferencia de inversiones o de cartera de créditos. </w:t>
      </w:r>
    </w:p>
    <w:p w14:paraId="1E3B2A4D" w14:textId="7DC7E117" w:rsidR="00AB6C84" w:rsidRPr="00791418" w:rsidRDefault="00862D77" w:rsidP="00791418">
      <w:pPr>
        <w:jc w:val="both"/>
        <w:rPr>
          <w:rFonts w:ascii="Verdana" w:hAnsi="Verdana" w:cs="Arial"/>
          <w:sz w:val="20"/>
          <w:szCs w:val="20"/>
        </w:rPr>
      </w:pPr>
      <w:r w:rsidRPr="00B00DBA">
        <w:rPr>
          <w:rFonts w:ascii="Verdana" w:hAnsi="Verdana" w:cs="Arial"/>
          <w:b/>
          <w:sz w:val="20"/>
          <w:szCs w:val="20"/>
        </w:rPr>
        <w:t>Valores de la misma especie y características</w:t>
      </w:r>
    </w:p>
    <w:p w14:paraId="77C046E3" w14:textId="0D4F4C44" w:rsidR="00080C7F" w:rsidRPr="00080C7F" w:rsidRDefault="00080C7F" w:rsidP="00B00DBA">
      <w:pPr>
        <w:spacing w:after="0" w:line="240" w:lineRule="auto"/>
        <w:jc w:val="both"/>
        <w:rPr>
          <w:rFonts w:ascii="Verdana" w:hAnsi="Verdana" w:cs="Arial"/>
          <w:bCs/>
          <w:sz w:val="20"/>
          <w:szCs w:val="20"/>
        </w:rPr>
      </w:pPr>
      <w:r w:rsidRPr="00080C7F">
        <w:rPr>
          <w:rFonts w:ascii="Verdana" w:hAnsi="Verdana" w:cs="Arial"/>
          <w:bCs/>
          <w:sz w:val="20"/>
          <w:szCs w:val="20"/>
        </w:rPr>
        <w:t>3.7.2.</w:t>
      </w:r>
      <w:r>
        <w:rPr>
          <w:rFonts w:ascii="Verdana" w:hAnsi="Verdana" w:cs="Arial"/>
          <w:bCs/>
          <w:sz w:val="20"/>
          <w:szCs w:val="20"/>
        </w:rPr>
        <w:t>1</w:t>
      </w:r>
      <w:r w:rsidR="0044406F">
        <w:rPr>
          <w:rFonts w:ascii="Verdana" w:hAnsi="Verdana" w:cs="Arial"/>
          <w:bCs/>
          <w:sz w:val="20"/>
          <w:szCs w:val="20"/>
        </w:rPr>
        <w:t>4</w:t>
      </w:r>
      <w:r w:rsidRPr="00080C7F">
        <w:rPr>
          <w:rFonts w:ascii="Verdana" w:hAnsi="Verdana" w:cs="Arial"/>
          <w:bCs/>
          <w:sz w:val="20"/>
          <w:szCs w:val="20"/>
        </w:rPr>
        <w:t>.</w:t>
      </w:r>
    </w:p>
    <w:p w14:paraId="73422B45" w14:textId="5ED28118" w:rsidR="00862D77" w:rsidRPr="004408F1" w:rsidRDefault="00862D77" w:rsidP="00B00DBA">
      <w:pPr>
        <w:pStyle w:val="Prrafodelista"/>
        <w:ind w:left="0"/>
        <w:jc w:val="both"/>
        <w:rPr>
          <w:rFonts w:ascii="Verdana" w:hAnsi="Verdana" w:cs="Arial"/>
          <w:sz w:val="20"/>
          <w:szCs w:val="20"/>
        </w:rPr>
      </w:pPr>
      <w:r w:rsidRPr="004408F1">
        <w:rPr>
          <w:rFonts w:ascii="Verdana" w:hAnsi="Verdana" w:cs="Arial"/>
          <w:sz w:val="20"/>
          <w:szCs w:val="20"/>
        </w:rPr>
        <w:t xml:space="preserve">Son aquellos que tienen las mismas características faciales, es decir, los emitidos por una misma entidad, pertenecientes a una misma emisión y serie, de idéntica fecha de emisión y vencimiento y de idéntica tasa facial y modalidad de pago de intereses cuando se trate de títulos de deuda o aquellos emitidos por una misma entidad y pertenecientes a una misma modalidad o clase de acciones, cuando se trate de títulos participativos. </w:t>
      </w:r>
    </w:p>
    <w:p w14:paraId="420E0E35" w14:textId="1A21D296" w:rsidR="00080C7F" w:rsidRPr="00080C7F" w:rsidRDefault="00080C7F" w:rsidP="00B00DBA">
      <w:pPr>
        <w:spacing w:after="0" w:line="240" w:lineRule="auto"/>
        <w:jc w:val="both"/>
        <w:rPr>
          <w:rFonts w:ascii="Verdana" w:hAnsi="Verdana" w:cs="Arial"/>
          <w:bCs/>
          <w:sz w:val="20"/>
          <w:szCs w:val="20"/>
        </w:rPr>
      </w:pPr>
      <w:r w:rsidRPr="00080C7F">
        <w:rPr>
          <w:rFonts w:ascii="Verdana" w:hAnsi="Verdana" w:cs="Arial"/>
          <w:bCs/>
          <w:sz w:val="20"/>
          <w:szCs w:val="20"/>
        </w:rPr>
        <w:t>3.7.2.</w:t>
      </w:r>
      <w:r>
        <w:rPr>
          <w:rFonts w:ascii="Verdana" w:hAnsi="Verdana" w:cs="Arial"/>
          <w:bCs/>
          <w:sz w:val="20"/>
          <w:szCs w:val="20"/>
        </w:rPr>
        <w:t>1</w:t>
      </w:r>
      <w:r w:rsidR="0044406F">
        <w:rPr>
          <w:rFonts w:ascii="Verdana" w:hAnsi="Verdana" w:cs="Arial"/>
          <w:bCs/>
          <w:sz w:val="20"/>
          <w:szCs w:val="20"/>
        </w:rPr>
        <w:t>5</w:t>
      </w:r>
      <w:r w:rsidRPr="00080C7F">
        <w:rPr>
          <w:rFonts w:ascii="Verdana" w:hAnsi="Verdana" w:cs="Arial"/>
          <w:bCs/>
          <w:sz w:val="20"/>
          <w:szCs w:val="20"/>
        </w:rPr>
        <w:t>.</w:t>
      </w:r>
    </w:p>
    <w:p w14:paraId="5334F498" w14:textId="77777777" w:rsidR="00862D77" w:rsidRPr="00D61EAE" w:rsidRDefault="00862D77" w:rsidP="00B00DBA">
      <w:pPr>
        <w:jc w:val="both"/>
        <w:rPr>
          <w:rFonts w:ascii="Verdana" w:hAnsi="Verdana" w:cs="Arial"/>
          <w:sz w:val="20"/>
          <w:szCs w:val="20"/>
        </w:rPr>
      </w:pPr>
      <w:r w:rsidRPr="00D61EAE">
        <w:rPr>
          <w:rFonts w:ascii="Verdana" w:hAnsi="Verdana" w:cs="Arial"/>
          <w:sz w:val="20"/>
          <w:szCs w:val="20"/>
        </w:rPr>
        <w:t xml:space="preserve">En los casos en los cuales los valores se hayan convertido, subdividido o consolidado por fusión, absorción u otro proceso similar por el cual no sea factible la entrega de valores de la misma especie y características, se podrá acordar la entrega de una suma de dinero o de otros valores con sujeción al régimen de inversiones aplicable.    </w:t>
      </w:r>
    </w:p>
    <w:p w14:paraId="77835E64" w14:textId="69ED9B7E" w:rsidR="00A57F8F" w:rsidRPr="002D04E4" w:rsidRDefault="00862D77" w:rsidP="002D04E4">
      <w:pPr>
        <w:jc w:val="both"/>
        <w:rPr>
          <w:rFonts w:ascii="Verdana" w:hAnsi="Verdana" w:cs="Arial"/>
          <w:sz w:val="20"/>
          <w:szCs w:val="20"/>
        </w:rPr>
      </w:pPr>
      <w:r w:rsidRPr="00B00DBA">
        <w:rPr>
          <w:rFonts w:ascii="Verdana" w:hAnsi="Verdana" w:cs="Arial"/>
          <w:b/>
          <w:i/>
          <w:iCs/>
          <w:sz w:val="20"/>
          <w:szCs w:val="20"/>
        </w:rPr>
        <w:t>Haircut</w:t>
      </w:r>
    </w:p>
    <w:p w14:paraId="48C24B21" w14:textId="27F1F655" w:rsidR="00CD7716" w:rsidRPr="00080C7F" w:rsidRDefault="00CD7716" w:rsidP="00B00DBA">
      <w:pPr>
        <w:spacing w:after="0" w:line="240" w:lineRule="auto"/>
        <w:jc w:val="both"/>
        <w:rPr>
          <w:rFonts w:ascii="Verdana" w:hAnsi="Verdana" w:cs="Arial"/>
          <w:bCs/>
          <w:sz w:val="20"/>
          <w:szCs w:val="20"/>
        </w:rPr>
      </w:pPr>
      <w:r w:rsidRPr="00080C7F">
        <w:rPr>
          <w:rFonts w:ascii="Verdana" w:hAnsi="Verdana" w:cs="Arial"/>
          <w:bCs/>
          <w:sz w:val="20"/>
          <w:szCs w:val="20"/>
        </w:rPr>
        <w:t>3.7.2.</w:t>
      </w:r>
      <w:r>
        <w:rPr>
          <w:rFonts w:ascii="Verdana" w:hAnsi="Verdana" w:cs="Arial"/>
          <w:bCs/>
          <w:sz w:val="20"/>
          <w:szCs w:val="20"/>
        </w:rPr>
        <w:t>1</w:t>
      </w:r>
      <w:r w:rsidR="0044406F">
        <w:rPr>
          <w:rFonts w:ascii="Verdana" w:hAnsi="Verdana" w:cs="Arial"/>
          <w:bCs/>
          <w:sz w:val="20"/>
          <w:szCs w:val="20"/>
        </w:rPr>
        <w:t>6</w:t>
      </w:r>
      <w:r w:rsidRPr="00080C7F">
        <w:rPr>
          <w:rFonts w:ascii="Verdana" w:hAnsi="Verdana" w:cs="Arial"/>
          <w:bCs/>
          <w:sz w:val="20"/>
          <w:szCs w:val="20"/>
        </w:rPr>
        <w:t>.</w:t>
      </w:r>
    </w:p>
    <w:p w14:paraId="04579F9D" w14:textId="6FBE42BD" w:rsidR="00862D77" w:rsidRDefault="00862D77" w:rsidP="002D04E4">
      <w:pPr>
        <w:pStyle w:val="Prrafodelista"/>
        <w:ind w:left="0"/>
        <w:jc w:val="both"/>
        <w:rPr>
          <w:rFonts w:ascii="Verdana" w:hAnsi="Verdana" w:cs="Arial"/>
          <w:sz w:val="20"/>
          <w:szCs w:val="20"/>
        </w:rPr>
      </w:pPr>
      <w:r w:rsidRPr="004408F1">
        <w:rPr>
          <w:rFonts w:ascii="Verdana" w:hAnsi="Verdana" w:cs="Arial"/>
          <w:sz w:val="20"/>
          <w:szCs w:val="20"/>
        </w:rPr>
        <w:t xml:space="preserve">Es el descuento sobre el </w:t>
      </w:r>
      <w:r w:rsidR="007561ED">
        <w:rPr>
          <w:rFonts w:ascii="Verdana" w:hAnsi="Verdana" w:cs="Arial"/>
          <w:sz w:val="20"/>
          <w:szCs w:val="20"/>
        </w:rPr>
        <w:t xml:space="preserve">valor </w:t>
      </w:r>
      <w:r w:rsidR="005543F0">
        <w:rPr>
          <w:rFonts w:ascii="Verdana" w:hAnsi="Verdana" w:cs="Arial"/>
          <w:sz w:val="20"/>
          <w:szCs w:val="20"/>
        </w:rPr>
        <w:t>de mercado</w:t>
      </w:r>
      <w:r w:rsidRPr="004408F1">
        <w:rPr>
          <w:rFonts w:ascii="Verdana" w:hAnsi="Verdana" w:cs="Arial"/>
          <w:sz w:val="20"/>
          <w:szCs w:val="20"/>
        </w:rPr>
        <w:t xml:space="preserve"> de los valores que se utilizan como </w:t>
      </w:r>
      <w:r w:rsidR="008449A5">
        <w:rPr>
          <w:rFonts w:ascii="Verdana" w:hAnsi="Verdana" w:cs="Arial"/>
          <w:sz w:val="20"/>
          <w:szCs w:val="20"/>
        </w:rPr>
        <w:t xml:space="preserve">garantía o </w:t>
      </w:r>
      <w:r w:rsidRPr="004408F1">
        <w:rPr>
          <w:rFonts w:ascii="Verdana" w:hAnsi="Verdana" w:cs="Arial"/>
          <w:sz w:val="20"/>
          <w:szCs w:val="20"/>
        </w:rPr>
        <w:t xml:space="preserve">respaldo en las operaciones del mercado monetario. </w:t>
      </w:r>
    </w:p>
    <w:p w14:paraId="33A72789" w14:textId="2BAB2D68" w:rsidR="00A57F8F" w:rsidRPr="002D04E4" w:rsidRDefault="00862D77" w:rsidP="002D04E4">
      <w:pPr>
        <w:jc w:val="both"/>
        <w:rPr>
          <w:rFonts w:ascii="Verdana" w:hAnsi="Verdana" w:cs="Arial"/>
          <w:sz w:val="20"/>
          <w:szCs w:val="20"/>
        </w:rPr>
      </w:pPr>
      <w:r w:rsidRPr="00B00DBA">
        <w:rPr>
          <w:rFonts w:ascii="Verdana" w:hAnsi="Verdana" w:cs="Arial"/>
          <w:b/>
          <w:sz w:val="20"/>
          <w:szCs w:val="20"/>
        </w:rPr>
        <w:t>Llamado al margen</w:t>
      </w:r>
    </w:p>
    <w:p w14:paraId="6D30FEBA" w14:textId="7A54ABE9" w:rsidR="00CD7716" w:rsidRPr="00080C7F" w:rsidRDefault="00CD7716" w:rsidP="00B00DBA">
      <w:pPr>
        <w:spacing w:after="0" w:line="240" w:lineRule="auto"/>
        <w:jc w:val="both"/>
        <w:rPr>
          <w:rFonts w:ascii="Verdana" w:hAnsi="Verdana" w:cs="Arial"/>
          <w:bCs/>
          <w:sz w:val="20"/>
          <w:szCs w:val="20"/>
        </w:rPr>
      </w:pPr>
      <w:r w:rsidRPr="00080C7F">
        <w:rPr>
          <w:rFonts w:ascii="Verdana" w:hAnsi="Verdana" w:cs="Arial"/>
          <w:bCs/>
          <w:sz w:val="20"/>
          <w:szCs w:val="20"/>
        </w:rPr>
        <w:t>3.7.2.</w:t>
      </w:r>
      <w:r>
        <w:rPr>
          <w:rFonts w:ascii="Verdana" w:hAnsi="Verdana" w:cs="Arial"/>
          <w:bCs/>
          <w:sz w:val="20"/>
          <w:szCs w:val="20"/>
        </w:rPr>
        <w:t>1</w:t>
      </w:r>
      <w:r w:rsidR="0044406F">
        <w:rPr>
          <w:rFonts w:ascii="Verdana" w:hAnsi="Verdana" w:cs="Arial"/>
          <w:bCs/>
          <w:sz w:val="20"/>
          <w:szCs w:val="20"/>
        </w:rPr>
        <w:t>7</w:t>
      </w:r>
      <w:r w:rsidRPr="00080C7F">
        <w:rPr>
          <w:rFonts w:ascii="Verdana" w:hAnsi="Verdana" w:cs="Arial"/>
          <w:bCs/>
          <w:sz w:val="20"/>
          <w:szCs w:val="20"/>
        </w:rPr>
        <w:t>.</w:t>
      </w:r>
    </w:p>
    <w:p w14:paraId="1042B137" w14:textId="59E54F77" w:rsidR="00862D77" w:rsidRPr="002D04E4" w:rsidRDefault="00862D77" w:rsidP="002D04E4">
      <w:pPr>
        <w:pStyle w:val="Prrafodelista"/>
        <w:ind w:left="0"/>
        <w:jc w:val="both"/>
        <w:rPr>
          <w:rFonts w:ascii="Verdana" w:hAnsi="Verdana" w:cs="Arial"/>
          <w:sz w:val="20"/>
          <w:szCs w:val="20"/>
        </w:rPr>
      </w:pPr>
      <w:r w:rsidRPr="004408F1">
        <w:rPr>
          <w:rFonts w:ascii="Verdana" w:hAnsi="Verdana" w:cs="Arial"/>
          <w:sz w:val="20"/>
          <w:szCs w:val="20"/>
        </w:rPr>
        <w:t xml:space="preserve">Es la solicitud de una parte a la otra para exigir la entrega de valores adicionales o de más dinero para asegurar el cumplimiento de una operación </w:t>
      </w:r>
      <w:r w:rsidR="00CD7716" w:rsidRPr="004408F1">
        <w:rPr>
          <w:rFonts w:ascii="Verdana" w:hAnsi="Verdana" w:cs="Arial"/>
          <w:sz w:val="20"/>
          <w:szCs w:val="20"/>
        </w:rPr>
        <w:t>repo, simultánea</w:t>
      </w:r>
      <w:r w:rsidRPr="004408F1">
        <w:rPr>
          <w:rFonts w:ascii="Verdana" w:hAnsi="Verdana" w:cs="Arial"/>
          <w:sz w:val="20"/>
          <w:szCs w:val="20"/>
        </w:rPr>
        <w:t xml:space="preserve">, o TTV.   </w:t>
      </w:r>
    </w:p>
    <w:p w14:paraId="5E995E04" w14:textId="35085926" w:rsidR="00244AC2" w:rsidRPr="00080C7F" w:rsidRDefault="00244AC2" w:rsidP="00B00DBA">
      <w:pPr>
        <w:spacing w:after="0" w:line="240" w:lineRule="auto"/>
        <w:jc w:val="both"/>
        <w:rPr>
          <w:rFonts w:ascii="Verdana" w:hAnsi="Verdana" w:cs="Arial"/>
          <w:bCs/>
          <w:sz w:val="20"/>
          <w:szCs w:val="20"/>
        </w:rPr>
      </w:pPr>
      <w:r w:rsidRPr="00080C7F">
        <w:rPr>
          <w:rFonts w:ascii="Verdana" w:hAnsi="Verdana" w:cs="Arial"/>
          <w:bCs/>
          <w:sz w:val="20"/>
          <w:szCs w:val="20"/>
        </w:rPr>
        <w:lastRenderedPageBreak/>
        <w:t>3.7.2.</w:t>
      </w:r>
      <w:r>
        <w:rPr>
          <w:rFonts w:ascii="Verdana" w:hAnsi="Verdana" w:cs="Arial"/>
          <w:bCs/>
          <w:sz w:val="20"/>
          <w:szCs w:val="20"/>
        </w:rPr>
        <w:t>1</w:t>
      </w:r>
      <w:r w:rsidR="0044406F">
        <w:rPr>
          <w:rFonts w:ascii="Verdana" w:hAnsi="Verdana" w:cs="Arial"/>
          <w:bCs/>
          <w:sz w:val="20"/>
          <w:szCs w:val="20"/>
        </w:rPr>
        <w:t>8</w:t>
      </w:r>
      <w:r w:rsidRPr="00080C7F">
        <w:rPr>
          <w:rFonts w:ascii="Verdana" w:hAnsi="Verdana" w:cs="Arial"/>
          <w:bCs/>
          <w:sz w:val="20"/>
          <w:szCs w:val="20"/>
        </w:rPr>
        <w:t>.</w:t>
      </w:r>
    </w:p>
    <w:p w14:paraId="746CB1DE" w14:textId="4D1C179C" w:rsidR="00862D77" w:rsidRDefault="00862D77" w:rsidP="00862D77">
      <w:pPr>
        <w:jc w:val="both"/>
        <w:rPr>
          <w:rFonts w:ascii="Verdana" w:hAnsi="Verdana" w:cs="Arial"/>
          <w:color w:val="000000"/>
          <w:sz w:val="20"/>
          <w:szCs w:val="20"/>
        </w:rPr>
      </w:pPr>
      <w:r w:rsidRPr="00D61EAE">
        <w:rPr>
          <w:rFonts w:ascii="Verdana" w:hAnsi="Verdana" w:cs="Arial"/>
          <w:color w:val="000000"/>
          <w:sz w:val="20"/>
          <w:szCs w:val="20"/>
        </w:rPr>
        <w:t xml:space="preserve">Los reglamentos de las bolsas de valores y de los sistemas de negociación de valores deberán incluir lo relativo al llamado al margen y podrán contemplar la constitución y liberación </w:t>
      </w:r>
      <w:r w:rsidR="00244AC2" w:rsidRPr="00D61EAE">
        <w:rPr>
          <w:rFonts w:ascii="Verdana" w:hAnsi="Verdana" w:cs="Arial"/>
          <w:color w:val="000000"/>
          <w:sz w:val="20"/>
          <w:szCs w:val="20"/>
        </w:rPr>
        <w:t>de</w:t>
      </w:r>
      <w:r w:rsidR="001C4D73">
        <w:rPr>
          <w:rFonts w:ascii="Verdana" w:hAnsi="Verdana" w:cs="Arial"/>
          <w:color w:val="000000"/>
          <w:sz w:val="20"/>
          <w:szCs w:val="20"/>
        </w:rPr>
        <w:t xml:space="preserve">l llamado al margen </w:t>
      </w:r>
      <w:r w:rsidRPr="00D61EAE">
        <w:rPr>
          <w:rFonts w:ascii="Verdana" w:hAnsi="Verdana" w:cs="Arial"/>
          <w:color w:val="000000"/>
          <w:sz w:val="20"/>
          <w:szCs w:val="20"/>
        </w:rPr>
        <w:t>durante el plazo de la operación, de conformidad con la variaci</w:t>
      </w:r>
      <w:r w:rsidR="00FE70AD">
        <w:rPr>
          <w:rFonts w:ascii="Verdana" w:hAnsi="Verdana" w:cs="Arial"/>
          <w:color w:val="000000"/>
          <w:sz w:val="20"/>
          <w:szCs w:val="20"/>
        </w:rPr>
        <w:t xml:space="preserve">ón </w:t>
      </w:r>
      <w:r w:rsidRPr="00D61EAE">
        <w:rPr>
          <w:rFonts w:ascii="Verdana" w:hAnsi="Verdana" w:cs="Arial"/>
          <w:color w:val="000000"/>
          <w:sz w:val="20"/>
          <w:szCs w:val="20"/>
        </w:rPr>
        <w:t xml:space="preserve"> en los precios de mercado de los valores transferidos.</w:t>
      </w:r>
    </w:p>
    <w:p w14:paraId="08F08471" w14:textId="3CC71FC2" w:rsidR="00862D77" w:rsidRPr="00D61EAE" w:rsidRDefault="002D04E4" w:rsidP="00862D77">
      <w:pPr>
        <w:jc w:val="both"/>
        <w:rPr>
          <w:rFonts w:ascii="Verdana" w:hAnsi="Verdana" w:cs="Arial"/>
          <w:b/>
          <w:sz w:val="20"/>
          <w:szCs w:val="20"/>
        </w:rPr>
      </w:pPr>
      <w:r w:rsidRPr="00D61EAE">
        <w:rPr>
          <w:rFonts w:ascii="Verdana" w:hAnsi="Verdana" w:cs="Arial"/>
          <w:b/>
          <w:sz w:val="20"/>
          <w:szCs w:val="20"/>
        </w:rPr>
        <w:t xml:space="preserve">CONTABILIZACIÓN Y VALORACIÓN DE LAS OPERACIONES DEL MERCADO MONETARIO </w:t>
      </w:r>
    </w:p>
    <w:p w14:paraId="3CFEF7F0" w14:textId="08F772BA" w:rsidR="002D04E4" w:rsidRPr="002D04E4" w:rsidRDefault="00862D77" w:rsidP="002D04E4">
      <w:pPr>
        <w:jc w:val="both"/>
        <w:rPr>
          <w:rFonts w:ascii="Verdana" w:hAnsi="Verdana" w:cs="Arial"/>
          <w:b/>
          <w:sz w:val="20"/>
          <w:szCs w:val="20"/>
        </w:rPr>
      </w:pPr>
      <w:r w:rsidRPr="00EB1E79">
        <w:rPr>
          <w:rFonts w:ascii="Verdana" w:hAnsi="Verdana" w:cs="Arial"/>
          <w:b/>
          <w:sz w:val="20"/>
          <w:szCs w:val="20"/>
        </w:rPr>
        <w:t>Operaciones repo, simultáneas y TTV</w:t>
      </w:r>
    </w:p>
    <w:p w14:paraId="25D3735A" w14:textId="376A17F2" w:rsidR="00244AC2" w:rsidRPr="00244AC2" w:rsidRDefault="00244AC2" w:rsidP="00EB1E79">
      <w:pPr>
        <w:pStyle w:val="Prrafodelista"/>
        <w:spacing w:after="0" w:line="240" w:lineRule="auto"/>
        <w:ind w:left="0"/>
        <w:jc w:val="both"/>
        <w:rPr>
          <w:rFonts w:ascii="Verdana" w:hAnsi="Verdana" w:cs="Arial"/>
          <w:bCs/>
          <w:sz w:val="20"/>
          <w:szCs w:val="20"/>
        </w:rPr>
      </w:pPr>
      <w:r w:rsidRPr="00244AC2">
        <w:rPr>
          <w:rFonts w:ascii="Verdana" w:hAnsi="Verdana" w:cs="Arial"/>
          <w:bCs/>
          <w:sz w:val="20"/>
          <w:szCs w:val="20"/>
        </w:rPr>
        <w:t>3.7.2.1</w:t>
      </w:r>
      <w:r w:rsidR="0044406F">
        <w:rPr>
          <w:rFonts w:ascii="Verdana" w:hAnsi="Verdana" w:cs="Arial"/>
          <w:bCs/>
          <w:sz w:val="20"/>
          <w:szCs w:val="20"/>
        </w:rPr>
        <w:t>9</w:t>
      </w:r>
      <w:r w:rsidRPr="00244AC2">
        <w:rPr>
          <w:rFonts w:ascii="Verdana" w:hAnsi="Verdana" w:cs="Arial"/>
          <w:bCs/>
          <w:sz w:val="20"/>
          <w:szCs w:val="20"/>
        </w:rPr>
        <w:t>.</w:t>
      </w:r>
    </w:p>
    <w:p w14:paraId="5ED874C7" w14:textId="54119A10" w:rsidR="00862D77" w:rsidRPr="00D61EAE" w:rsidRDefault="00862D77" w:rsidP="00EB1E79">
      <w:pPr>
        <w:jc w:val="both"/>
        <w:rPr>
          <w:rFonts w:ascii="Verdana" w:hAnsi="Verdana" w:cs="Arial"/>
          <w:sz w:val="20"/>
          <w:szCs w:val="20"/>
        </w:rPr>
      </w:pPr>
      <w:r w:rsidRPr="00D61EAE">
        <w:rPr>
          <w:rFonts w:ascii="Verdana" w:hAnsi="Verdana" w:cs="Arial"/>
          <w:sz w:val="20"/>
          <w:szCs w:val="20"/>
        </w:rPr>
        <w:t>El reconocimiento, medición y revelación de las operaciones repo, simultaneas y TTV debe</w:t>
      </w:r>
      <w:r w:rsidR="00B51765">
        <w:rPr>
          <w:rFonts w:ascii="Verdana" w:hAnsi="Verdana" w:cs="Arial"/>
          <w:sz w:val="20"/>
          <w:szCs w:val="20"/>
        </w:rPr>
        <w:t>n</w:t>
      </w:r>
      <w:r w:rsidRPr="00D61EAE">
        <w:rPr>
          <w:rFonts w:ascii="Verdana" w:hAnsi="Verdana" w:cs="Arial"/>
          <w:sz w:val="20"/>
          <w:szCs w:val="20"/>
        </w:rPr>
        <w:t xml:space="preserve"> considerar si la entidad vigilada actúa como enajenante o adquirente, u originador o receptor, según sea el caso. En todo caso, las entidades deben registrar estas operaciones </w:t>
      </w:r>
      <w:r w:rsidR="00390971">
        <w:rPr>
          <w:rFonts w:ascii="Verdana" w:hAnsi="Verdana" w:cs="Arial"/>
          <w:sz w:val="20"/>
          <w:szCs w:val="20"/>
        </w:rPr>
        <w:t xml:space="preserve">en los códigos establecidos para su reconocimiento </w:t>
      </w:r>
      <w:r w:rsidRPr="00D61EAE">
        <w:rPr>
          <w:rFonts w:ascii="Verdana" w:hAnsi="Verdana" w:cs="Arial"/>
          <w:sz w:val="20"/>
          <w:szCs w:val="20"/>
        </w:rPr>
        <w:t>en el Catálogo Único de Información Financiera con Fines de Supervisión</w:t>
      </w:r>
      <w:r w:rsidR="00351B21">
        <w:rPr>
          <w:rFonts w:ascii="Verdana" w:hAnsi="Verdana" w:cs="Arial"/>
          <w:sz w:val="20"/>
          <w:szCs w:val="20"/>
        </w:rPr>
        <w:t xml:space="preserve"> (CUIF)</w:t>
      </w:r>
      <w:r w:rsidRPr="00D61EAE">
        <w:rPr>
          <w:rFonts w:ascii="Verdana" w:hAnsi="Verdana" w:cs="Arial"/>
          <w:sz w:val="20"/>
          <w:szCs w:val="20"/>
        </w:rPr>
        <w:t xml:space="preserve">. </w:t>
      </w:r>
    </w:p>
    <w:p w14:paraId="02B01A1A" w14:textId="0008D70E" w:rsidR="00004368" w:rsidRPr="00244AC2" w:rsidRDefault="00004368" w:rsidP="00EB1E79">
      <w:pPr>
        <w:pStyle w:val="Prrafodelista"/>
        <w:spacing w:after="0" w:line="240" w:lineRule="auto"/>
        <w:ind w:left="0"/>
        <w:jc w:val="both"/>
        <w:rPr>
          <w:rFonts w:ascii="Verdana" w:hAnsi="Verdana" w:cs="Arial"/>
          <w:bCs/>
          <w:sz w:val="20"/>
          <w:szCs w:val="20"/>
        </w:rPr>
      </w:pPr>
      <w:r w:rsidRPr="00244AC2">
        <w:rPr>
          <w:rFonts w:ascii="Verdana" w:hAnsi="Verdana" w:cs="Arial"/>
          <w:bCs/>
          <w:sz w:val="20"/>
          <w:szCs w:val="20"/>
        </w:rPr>
        <w:t>3.7.2.</w:t>
      </w:r>
      <w:r w:rsidR="0044406F">
        <w:rPr>
          <w:rFonts w:ascii="Verdana" w:hAnsi="Verdana" w:cs="Arial"/>
          <w:bCs/>
          <w:sz w:val="20"/>
          <w:szCs w:val="20"/>
        </w:rPr>
        <w:t>20</w:t>
      </w:r>
      <w:r w:rsidRPr="00244AC2">
        <w:rPr>
          <w:rFonts w:ascii="Verdana" w:hAnsi="Verdana" w:cs="Arial"/>
          <w:bCs/>
          <w:sz w:val="20"/>
          <w:szCs w:val="20"/>
        </w:rPr>
        <w:t>.</w:t>
      </w:r>
    </w:p>
    <w:p w14:paraId="20DC9816" w14:textId="24E20F96" w:rsidR="00862D77" w:rsidRPr="00D61EAE" w:rsidRDefault="00862D77" w:rsidP="00EB1E79">
      <w:pPr>
        <w:jc w:val="both"/>
        <w:rPr>
          <w:rFonts w:ascii="Verdana" w:hAnsi="Verdana" w:cs="Arial"/>
          <w:sz w:val="20"/>
          <w:szCs w:val="20"/>
        </w:rPr>
      </w:pPr>
      <w:r w:rsidRPr="00D61EAE">
        <w:rPr>
          <w:rFonts w:ascii="Verdana" w:hAnsi="Verdana" w:cs="Arial"/>
          <w:sz w:val="20"/>
          <w:szCs w:val="20"/>
        </w:rPr>
        <w:t>Sin perjuicio de la transferencia legal de propiedad de los valores objeto de las operaciones repo, simultaneas y TTV, el enajenante, originador o receptor</w:t>
      </w:r>
      <w:r w:rsidR="00883843">
        <w:rPr>
          <w:rFonts w:ascii="Verdana" w:hAnsi="Verdana" w:cs="Arial"/>
          <w:sz w:val="20"/>
          <w:szCs w:val="20"/>
        </w:rPr>
        <w:t xml:space="preserve">, </w:t>
      </w:r>
      <w:r w:rsidRPr="00D61EAE">
        <w:rPr>
          <w:rFonts w:ascii="Verdana" w:hAnsi="Verdana" w:cs="Arial"/>
          <w:sz w:val="20"/>
          <w:szCs w:val="20"/>
        </w:rPr>
        <w:t xml:space="preserve">en el caso de operaciones TTV </w:t>
      </w:r>
      <w:r w:rsidR="000F7638">
        <w:rPr>
          <w:rFonts w:ascii="Verdana" w:hAnsi="Verdana" w:cs="Arial"/>
          <w:sz w:val="20"/>
          <w:szCs w:val="20"/>
        </w:rPr>
        <w:t xml:space="preserve">de </w:t>
      </w:r>
      <w:r w:rsidRPr="00D61EAE">
        <w:rPr>
          <w:rFonts w:ascii="Verdana" w:hAnsi="Verdana" w:cs="Arial"/>
          <w:sz w:val="20"/>
          <w:szCs w:val="20"/>
        </w:rPr>
        <w:t>valores contra valores</w:t>
      </w:r>
      <w:r w:rsidR="00883843">
        <w:rPr>
          <w:rFonts w:ascii="Verdana" w:hAnsi="Verdana" w:cs="Arial"/>
          <w:sz w:val="20"/>
          <w:szCs w:val="20"/>
        </w:rPr>
        <w:t>,</w:t>
      </w:r>
      <w:r w:rsidRPr="00D61EAE">
        <w:rPr>
          <w:rFonts w:ascii="Verdana" w:hAnsi="Verdana" w:cs="Arial"/>
          <w:sz w:val="20"/>
          <w:szCs w:val="20"/>
        </w:rPr>
        <w:t xml:space="preserve"> debe mantener el reconocimiento contable de los valores objeto de la operación en sus estados financieros, cuando en dichas operaciones la transferencia de propiedad sea inequívocamente temporal y con la vocación de retornar al propietario inicial (enajenante, originador o receptor, según la situación particular). En este caso, se debe reconocer la contingencia de transferencia definitiva del activo en </w:t>
      </w:r>
      <w:r w:rsidR="008524B4">
        <w:rPr>
          <w:rFonts w:ascii="Verdana" w:hAnsi="Verdana" w:cs="Arial"/>
          <w:sz w:val="20"/>
          <w:szCs w:val="20"/>
        </w:rPr>
        <w:t xml:space="preserve">las </w:t>
      </w:r>
      <w:r w:rsidRPr="00D61EAE">
        <w:rPr>
          <w:rFonts w:ascii="Verdana" w:hAnsi="Verdana" w:cs="Arial"/>
          <w:sz w:val="20"/>
          <w:szCs w:val="20"/>
        </w:rPr>
        <w:t>cuentas de orden</w:t>
      </w:r>
      <w:r w:rsidR="008524B4">
        <w:rPr>
          <w:rFonts w:ascii="Verdana" w:hAnsi="Verdana" w:cs="Arial"/>
          <w:sz w:val="20"/>
          <w:szCs w:val="20"/>
        </w:rPr>
        <w:t xml:space="preserve"> del CUIF definidas para el efecto</w:t>
      </w:r>
      <w:r w:rsidRPr="00D61EAE">
        <w:rPr>
          <w:rFonts w:ascii="Verdana" w:hAnsi="Verdana" w:cs="Arial"/>
          <w:sz w:val="20"/>
          <w:szCs w:val="20"/>
        </w:rPr>
        <w:t>.</w:t>
      </w:r>
    </w:p>
    <w:p w14:paraId="4973F7C6" w14:textId="51D76400" w:rsidR="00004368" w:rsidRPr="00244AC2" w:rsidRDefault="00004368" w:rsidP="00EB1E79">
      <w:pPr>
        <w:pStyle w:val="Prrafodelista"/>
        <w:spacing w:after="0" w:line="240" w:lineRule="auto"/>
        <w:ind w:left="0"/>
        <w:jc w:val="both"/>
        <w:rPr>
          <w:rFonts w:ascii="Verdana" w:hAnsi="Verdana" w:cs="Arial"/>
          <w:bCs/>
          <w:sz w:val="20"/>
          <w:szCs w:val="20"/>
        </w:rPr>
      </w:pPr>
      <w:r w:rsidRPr="00244AC2">
        <w:rPr>
          <w:rFonts w:ascii="Verdana" w:hAnsi="Verdana" w:cs="Arial"/>
          <w:bCs/>
          <w:sz w:val="20"/>
          <w:szCs w:val="20"/>
        </w:rPr>
        <w:t>3.7.2.</w:t>
      </w:r>
      <w:r w:rsidR="00757534">
        <w:rPr>
          <w:rFonts w:ascii="Verdana" w:hAnsi="Verdana" w:cs="Arial"/>
          <w:bCs/>
          <w:sz w:val="20"/>
          <w:szCs w:val="20"/>
        </w:rPr>
        <w:t>2</w:t>
      </w:r>
      <w:r w:rsidR="0044406F">
        <w:rPr>
          <w:rFonts w:ascii="Verdana" w:hAnsi="Verdana" w:cs="Arial"/>
          <w:bCs/>
          <w:sz w:val="20"/>
          <w:szCs w:val="20"/>
        </w:rPr>
        <w:t>1</w:t>
      </w:r>
      <w:r w:rsidRPr="00244AC2">
        <w:rPr>
          <w:rFonts w:ascii="Verdana" w:hAnsi="Verdana" w:cs="Arial"/>
          <w:bCs/>
          <w:sz w:val="20"/>
          <w:szCs w:val="20"/>
        </w:rPr>
        <w:t>.</w:t>
      </w:r>
    </w:p>
    <w:p w14:paraId="635E8F4E" w14:textId="5F1D3FDF" w:rsidR="00862D77" w:rsidRPr="00D61EAE" w:rsidRDefault="00862D77" w:rsidP="00EB1E79">
      <w:pPr>
        <w:jc w:val="both"/>
        <w:rPr>
          <w:rFonts w:ascii="Verdana" w:hAnsi="Verdana" w:cs="Arial"/>
          <w:sz w:val="20"/>
          <w:szCs w:val="20"/>
        </w:rPr>
      </w:pPr>
      <w:r w:rsidRPr="00D61EAE">
        <w:rPr>
          <w:rFonts w:ascii="Verdana" w:hAnsi="Verdana" w:cs="Arial"/>
          <w:sz w:val="20"/>
          <w:szCs w:val="20"/>
        </w:rPr>
        <w:t xml:space="preserve">Por su parte, el adquirente, receptor u originador (en el caso de operaciones TTV </w:t>
      </w:r>
      <w:r w:rsidR="00B012F1">
        <w:rPr>
          <w:rFonts w:ascii="Verdana" w:hAnsi="Verdana" w:cs="Arial"/>
          <w:sz w:val="20"/>
          <w:szCs w:val="20"/>
        </w:rPr>
        <w:t xml:space="preserve">de </w:t>
      </w:r>
      <w:r w:rsidRPr="00D61EAE">
        <w:rPr>
          <w:rFonts w:ascii="Verdana" w:hAnsi="Verdana" w:cs="Arial"/>
          <w:sz w:val="20"/>
          <w:szCs w:val="20"/>
        </w:rPr>
        <w:t>valores contra valores) debe reconocer en cuentas de orden el derecho contingente sobre los valores objeto de la operación.</w:t>
      </w:r>
    </w:p>
    <w:p w14:paraId="294E5180" w14:textId="0D5F902B" w:rsidR="00004368" w:rsidRPr="00244AC2" w:rsidRDefault="00004368" w:rsidP="00EB1E79">
      <w:pPr>
        <w:pStyle w:val="Prrafodelista"/>
        <w:spacing w:after="0" w:line="240" w:lineRule="auto"/>
        <w:ind w:left="0"/>
        <w:jc w:val="both"/>
        <w:rPr>
          <w:rFonts w:ascii="Verdana" w:hAnsi="Verdana" w:cs="Arial"/>
          <w:bCs/>
          <w:sz w:val="20"/>
          <w:szCs w:val="20"/>
        </w:rPr>
      </w:pPr>
      <w:r w:rsidRPr="00244AC2">
        <w:rPr>
          <w:rFonts w:ascii="Verdana" w:hAnsi="Verdana" w:cs="Arial"/>
          <w:bCs/>
          <w:sz w:val="20"/>
          <w:szCs w:val="20"/>
        </w:rPr>
        <w:t>3.7.2.</w:t>
      </w:r>
      <w:r>
        <w:rPr>
          <w:rFonts w:ascii="Verdana" w:hAnsi="Verdana" w:cs="Arial"/>
          <w:bCs/>
          <w:sz w:val="20"/>
          <w:szCs w:val="20"/>
        </w:rPr>
        <w:t>2</w:t>
      </w:r>
      <w:r w:rsidR="0044406F">
        <w:rPr>
          <w:rFonts w:ascii="Verdana" w:hAnsi="Verdana" w:cs="Arial"/>
          <w:bCs/>
          <w:sz w:val="20"/>
          <w:szCs w:val="20"/>
        </w:rPr>
        <w:t>2</w:t>
      </w:r>
      <w:r w:rsidRPr="00244AC2">
        <w:rPr>
          <w:rFonts w:ascii="Verdana" w:hAnsi="Verdana" w:cs="Arial"/>
          <w:bCs/>
          <w:sz w:val="20"/>
          <w:szCs w:val="20"/>
        </w:rPr>
        <w:t>.</w:t>
      </w:r>
    </w:p>
    <w:p w14:paraId="4E483DE2" w14:textId="1EB2790C" w:rsidR="00862D77" w:rsidRDefault="00862D77" w:rsidP="00862D77">
      <w:pPr>
        <w:jc w:val="both"/>
        <w:rPr>
          <w:rFonts w:ascii="Verdana" w:hAnsi="Verdana" w:cs="Arial"/>
          <w:sz w:val="20"/>
          <w:szCs w:val="20"/>
        </w:rPr>
      </w:pPr>
      <w:r w:rsidRPr="00D61EAE">
        <w:rPr>
          <w:rFonts w:ascii="Verdana" w:hAnsi="Verdana" w:cs="Arial"/>
          <w:sz w:val="20"/>
          <w:szCs w:val="20"/>
        </w:rPr>
        <w:t>Los rendimientos de las operaciones repo, simultaneas o TTV se causarán durante el plazo de la respectiva operación y serán un gasto o un ingreso para cada una de las partes, según corresponda.</w:t>
      </w:r>
    </w:p>
    <w:p w14:paraId="2FE32069" w14:textId="37C39AE1" w:rsidR="00862D77" w:rsidRPr="00D61EAE" w:rsidRDefault="00862D77" w:rsidP="00862D77">
      <w:pPr>
        <w:tabs>
          <w:tab w:val="left" w:pos="5931"/>
        </w:tabs>
        <w:jc w:val="both"/>
        <w:rPr>
          <w:rFonts w:ascii="Verdana" w:hAnsi="Verdana" w:cs="Arial"/>
          <w:b/>
          <w:bCs/>
          <w:sz w:val="20"/>
          <w:szCs w:val="20"/>
        </w:rPr>
      </w:pPr>
      <w:r w:rsidRPr="00D61EAE">
        <w:rPr>
          <w:rFonts w:ascii="Verdana" w:hAnsi="Verdana" w:cs="Arial"/>
          <w:b/>
          <w:bCs/>
          <w:sz w:val="20"/>
          <w:szCs w:val="20"/>
        </w:rPr>
        <w:t xml:space="preserve">Operaciones relacionadas con </w:t>
      </w:r>
      <w:r w:rsidR="009D2684">
        <w:rPr>
          <w:rFonts w:ascii="Verdana" w:hAnsi="Verdana" w:cs="Arial"/>
          <w:b/>
          <w:bCs/>
          <w:sz w:val="20"/>
          <w:szCs w:val="20"/>
        </w:rPr>
        <w:t xml:space="preserve">operaciones </w:t>
      </w:r>
      <w:r w:rsidRPr="00D61EAE">
        <w:rPr>
          <w:rFonts w:ascii="Verdana" w:hAnsi="Verdana" w:cs="Arial"/>
          <w:b/>
          <w:bCs/>
          <w:sz w:val="20"/>
          <w:szCs w:val="20"/>
        </w:rPr>
        <w:t>del mercado monetario</w:t>
      </w:r>
    </w:p>
    <w:p w14:paraId="583CD206" w14:textId="351AA7E2" w:rsidR="00862D77" w:rsidRPr="0067672B" w:rsidRDefault="00862D77" w:rsidP="0067672B">
      <w:pPr>
        <w:pStyle w:val="Prrafodelista"/>
        <w:numPr>
          <w:ilvl w:val="0"/>
          <w:numId w:val="10"/>
        </w:numPr>
        <w:tabs>
          <w:tab w:val="left" w:pos="5931"/>
        </w:tabs>
        <w:ind w:left="284" w:hanging="284"/>
        <w:jc w:val="both"/>
        <w:rPr>
          <w:rFonts w:ascii="Verdana" w:hAnsi="Verdana" w:cs="Arial"/>
          <w:b/>
          <w:bCs/>
          <w:sz w:val="20"/>
          <w:szCs w:val="20"/>
        </w:rPr>
      </w:pPr>
      <w:r w:rsidRPr="0067672B">
        <w:rPr>
          <w:rFonts w:ascii="Verdana" w:hAnsi="Verdana" w:cs="Arial"/>
          <w:b/>
          <w:bCs/>
          <w:sz w:val="20"/>
          <w:szCs w:val="20"/>
        </w:rPr>
        <w:t>Posiciones en corto por venta de activos recibidos en operaciones repo, simultaneas y TTV</w:t>
      </w:r>
    </w:p>
    <w:p w14:paraId="4BB657EC" w14:textId="77777777" w:rsidR="00757534" w:rsidRDefault="00757534" w:rsidP="00004368">
      <w:pPr>
        <w:pStyle w:val="Prrafodelista"/>
        <w:spacing w:after="0" w:line="240" w:lineRule="auto"/>
        <w:ind w:left="0"/>
        <w:jc w:val="both"/>
        <w:rPr>
          <w:rFonts w:ascii="Verdana" w:hAnsi="Verdana" w:cs="Arial"/>
          <w:bCs/>
          <w:sz w:val="20"/>
          <w:szCs w:val="20"/>
        </w:rPr>
      </w:pPr>
    </w:p>
    <w:p w14:paraId="480FD62F" w14:textId="2F5FB152" w:rsidR="00004368" w:rsidRPr="00244AC2" w:rsidRDefault="00004368" w:rsidP="00004368">
      <w:pPr>
        <w:pStyle w:val="Prrafodelista"/>
        <w:spacing w:after="0" w:line="240" w:lineRule="auto"/>
        <w:ind w:left="0"/>
        <w:jc w:val="both"/>
        <w:rPr>
          <w:rFonts w:ascii="Verdana" w:hAnsi="Verdana" w:cs="Arial"/>
          <w:bCs/>
          <w:sz w:val="20"/>
          <w:szCs w:val="20"/>
        </w:rPr>
      </w:pPr>
      <w:r w:rsidRPr="00244AC2">
        <w:rPr>
          <w:rFonts w:ascii="Verdana" w:hAnsi="Verdana" w:cs="Arial"/>
          <w:bCs/>
          <w:sz w:val="20"/>
          <w:szCs w:val="20"/>
        </w:rPr>
        <w:t>3.7.2.</w:t>
      </w:r>
      <w:r>
        <w:rPr>
          <w:rFonts w:ascii="Verdana" w:hAnsi="Verdana" w:cs="Arial"/>
          <w:bCs/>
          <w:sz w:val="20"/>
          <w:szCs w:val="20"/>
        </w:rPr>
        <w:t>2</w:t>
      </w:r>
      <w:r w:rsidR="0044406F">
        <w:rPr>
          <w:rFonts w:ascii="Verdana" w:hAnsi="Verdana" w:cs="Arial"/>
          <w:bCs/>
          <w:sz w:val="20"/>
          <w:szCs w:val="20"/>
        </w:rPr>
        <w:t>3</w:t>
      </w:r>
      <w:r w:rsidRPr="00244AC2">
        <w:rPr>
          <w:rFonts w:ascii="Verdana" w:hAnsi="Verdana" w:cs="Arial"/>
          <w:bCs/>
          <w:sz w:val="20"/>
          <w:szCs w:val="20"/>
        </w:rPr>
        <w:t>.</w:t>
      </w:r>
    </w:p>
    <w:p w14:paraId="30520D3E" w14:textId="77777777" w:rsidR="00862D77" w:rsidRPr="00D61EAE" w:rsidRDefault="00862D77" w:rsidP="00862D77">
      <w:pPr>
        <w:jc w:val="both"/>
        <w:rPr>
          <w:rFonts w:ascii="Verdana" w:hAnsi="Verdana" w:cs="Arial"/>
          <w:sz w:val="20"/>
          <w:szCs w:val="20"/>
        </w:rPr>
      </w:pPr>
      <w:r w:rsidRPr="00D61EAE">
        <w:rPr>
          <w:rFonts w:ascii="Verdana" w:hAnsi="Verdana" w:cs="Arial"/>
          <w:sz w:val="20"/>
          <w:szCs w:val="20"/>
        </w:rPr>
        <w:t>Cuando la parte adquirente o receptora de una operación repo, simultanea o TTV realice la enajenación definitiva del activo recibido temporalmente, asume una posición en corto frente a la operación de regreso de la respectiva operación repo, simultanea o TTV.</w:t>
      </w:r>
    </w:p>
    <w:p w14:paraId="591616A7" w14:textId="05225E20" w:rsidR="000B3DEB" w:rsidRPr="00244AC2" w:rsidRDefault="000B3DEB" w:rsidP="000B3DEB">
      <w:pPr>
        <w:pStyle w:val="Prrafodelista"/>
        <w:spacing w:after="0" w:line="240" w:lineRule="auto"/>
        <w:ind w:left="0"/>
        <w:jc w:val="both"/>
        <w:rPr>
          <w:rFonts w:ascii="Verdana" w:hAnsi="Verdana" w:cs="Arial"/>
          <w:bCs/>
          <w:sz w:val="20"/>
          <w:szCs w:val="20"/>
        </w:rPr>
      </w:pPr>
      <w:r w:rsidRPr="00244AC2">
        <w:rPr>
          <w:rFonts w:ascii="Verdana" w:hAnsi="Verdana" w:cs="Arial"/>
          <w:bCs/>
          <w:sz w:val="20"/>
          <w:szCs w:val="20"/>
        </w:rPr>
        <w:t>3.7.2.</w:t>
      </w:r>
      <w:r>
        <w:rPr>
          <w:rFonts w:ascii="Verdana" w:hAnsi="Verdana" w:cs="Arial"/>
          <w:bCs/>
          <w:sz w:val="20"/>
          <w:szCs w:val="20"/>
        </w:rPr>
        <w:t>2</w:t>
      </w:r>
      <w:r w:rsidR="0044406F">
        <w:rPr>
          <w:rFonts w:ascii="Verdana" w:hAnsi="Verdana" w:cs="Arial"/>
          <w:bCs/>
          <w:sz w:val="20"/>
          <w:szCs w:val="20"/>
        </w:rPr>
        <w:t>4</w:t>
      </w:r>
      <w:r w:rsidRPr="00244AC2">
        <w:rPr>
          <w:rFonts w:ascii="Verdana" w:hAnsi="Verdana" w:cs="Arial"/>
          <w:bCs/>
          <w:sz w:val="20"/>
          <w:szCs w:val="20"/>
        </w:rPr>
        <w:t>.</w:t>
      </w:r>
    </w:p>
    <w:p w14:paraId="7032E518" w14:textId="77777777" w:rsidR="00862D77" w:rsidRPr="00D61EAE" w:rsidRDefault="00862D77" w:rsidP="00862D77">
      <w:pPr>
        <w:jc w:val="both"/>
        <w:rPr>
          <w:rFonts w:ascii="Verdana" w:hAnsi="Verdana" w:cs="Arial"/>
          <w:sz w:val="20"/>
          <w:szCs w:val="20"/>
        </w:rPr>
      </w:pPr>
      <w:r w:rsidRPr="00D61EAE">
        <w:rPr>
          <w:rFonts w:ascii="Verdana" w:hAnsi="Verdana" w:cs="Arial"/>
          <w:sz w:val="20"/>
          <w:szCs w:val="20"/>
        </w:rPr>
        <w:t>La existencia de la posición financiera en corto no afecta los requisitos de registro y reconocimientos de las obligaciones y derechos asociados a la operación de venta del activo, y tampoco de la operación repo, simultanea o TTV inicial. En todo caso, al realizar la venta del activo recibido, la entidad adquirente o receptora debe reconocer una obligación financiera por el valor razonable de los valores que deben reintegrarse al enajenante u originador.</w:t>
      </w:r>
    </w:p>
    <w:p w14:paraId="6B8BCE6A" w14:textId="77777777" w:rsidR="00862D77" w:rsidRPr="00D61EAE" w:rsidRDefault="00862D77" w:rsidP="00862D77">
      <w:pPr>
        <w:tabs>
          <w:tab w:val="left" w:pos="5931"/>
        </w:tabs>
        <w:jc w:val="both"/>
        <w:rPr>
          <w:rFonts w:ascii="Verdana" w:hAnsi="Verdana" w:cs="Arial"/>
          <w:sz w:val="20"/>
          <w:szCs w:val="20"/>
        </w:rPr>
      </w:pPr>
    </w:p>
    <w:p w14:paraId="36983B9A" w14:textId="77777777" w:rsidR="00862D77" w:rsidRPr="00D61EAE" w:rsidRDefault="00862D77" w:rsidP="00862D77">
      <w:pPr>
        <w:spacing w:after="0"/>
        <w:jc w:val="both"/>
        <w:rPr>
          <w:rFonts w:ascii="Verdana" w:hAnsi="Verdana"/>
          <w:sz w:val="20"/>
          <w:szCs w:val="20"/>
        </w:rPr>
      </w:pPr>
    </w:p>
    <w:sectPr w:rsidR="00862D77" w:rsidRPr="00D61EAE"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0AC4E" w14:textId="77777777" w:rsidR="00423339" w:rsidRDefault="00423339" w:rsidP="00057BF6">
      <w:pPr>
        <w:spacing w:after="0" w:line="240" w:lineRule="auto"/>
      </w:pPr>
      <w:r>
        <w:separator/>
      </w:r>
    </w:p>
  </w:endnote>
  <w:endnote w:type="continuationSeparator" w:id="0">
    <w:p w14:paraId="05A38714" w14:textId="77777777" w:rsidR="00423339" w:rsidRDefault="00423339"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0197B" w14:textId="77777777" w:rsidR="00423339" w:rsidRDefault="00423339" w:rsidP="00057BF6">
      <w:pPr>
        <w:spacing w:after="0" w:line="240" w:lineRule="auto"/>
      </w:pPr>
      <w:r>
        <w:separator/>
      </w:r>
    </w:p>
  </w:footnote>
  <w:footnote w:type="continuationSeparator" w:id="0">
    <w:p w14:paraId="187E3B41" w14:textId="77777777" w:rsidR="00423339" w:rsidRDefault="00423339"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A336F"/>
    <w:multiLevelType w:val="hybridMultilevel"/>
    <w:tmpl w:val="D63416D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4BB4728"/>
    <w:multiLevelType w:val="hybridMultilevel"/>
    <w:tmpl w:val="C5F629B4"/>
    <w:lvl w:ilvl="0" w:tplc="41CA62B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266378E"/>
    <w:multiLevelType w:val="hybridMultilevel"/>
    <w:tmpl w:val="EF4CCBCC"/>
    <w:lvl w:ilvl="0" w:tplc="7CC05D4E">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E5A39E1"/>
    <w:multiLevelType w:val="hybridMultilevel"/>
    <w:tmpl w:val="39D85A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BB11A09"/>
    <w:multiLevelType w:val="hybridMultilevel"/>
    <w:tmpl w:val="6DD4DA5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0767FFE"/>
    <w:multiLevelType w:val="hybridMultilevel"/>
    <w:tmpl w:val="7CDC8350"/>
    <w:lvl w:ilvl="0" w:tplc="34065A52">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1EB6270"/>
    <w:multiLevelType w:val="hybridMultilevel"/>
    <w:tmpl w:val="D0306DDC"/>
    <w:lvl w:ilvl="0" w:tplc="05E43DDE">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5975104"/>
    <w:multiLevelType w:val="hybridMultilevel"/>
    <w:tmpl w:val="2C5E7678"/>
    <w:lvl w:ilvl="0" w:tplc="62AAAA5E">
      <w:start w:val="1"/>
      <w:numFmt w:val="lowerLetter"/>
      <w:lvlText w:val="%1."/>
      <w:lvlJc w:val="left"/>
      <w:pPr>
        <w:ind w:left="36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74EE23FF"/>
    <w:multiLevelType w:val="hybridMultilevel"/>
    <w:tmpl w:val="B6C4364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D0B6FA1"/>
    <w:multiLevelType w:val="hybridMultilevel"/>
    <w:tmpl w:val="CC5ED7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8432656">
    <w:abstractNumId w:val="8"/>
  </w:num>
  <w:num w:numId="2" w16cid:durableId="1106658637">
    <w:abstractNumId w:val="10"/>
  </w:num>
  <w:num w:numId="3" w16cid:durableId="1806386795">
    <w:abstractNumId w:val="7"/>
  </w:num>
  <w:num w:numId="4" w16cid:durableId="2006936410">
    <w:abstractNumId w:val="1"/>
  </w:num>
  <w:num w:numId="5" w16cid:durableId="185487643">
    <w:abstractNumId w:val="2"/>
  </w:num>
  <w:num w:numId="6" w16cid:durableId="1794059954">
    <w:abstractNumId w:val="5"/>
  </w:num>
  <w:num w:numId="7" w16cid:durableId="1625110633">
    <w:abstractNumId w:val="9"/>
  </w:num>
  <w:num w:numId="8" w16cid:durableId="490827649">
    <w:abstractNumId w:val="6"/>
  </w:num>
  <w:num w:numId="9" w16cid:durableId="310644347">
    <w:abstractNumId w:val="4"/>
  </w:num>
  <w:num w:numId="10" w16cid:durableId="2130007644">
    <w:abstractNumId w:val="3"/>
  </w:num>
  <w:num w:numId="11" w16cid:durableId="1440448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4368"/>
    <w:rsid w:val="0001560A"/>
    <w:rsid w:val="000172EA"/>
    <w:rsid w:val="00021C54"/>
    <w:rsid w:val="0002613C"/>
    <w:rsid w:val="00036FF3"/>
    <w:rsid w:val="00043BFC"/>
    <w:rsid w:val="00057BF6"/>
    <w:rsid w:val="00061769"/>
    <w:rsid w:val="0006736C"/>
    <w:rsid w:val="00071E60"/>
    <w:rsid w:val="00080C7F"/>
    <w:rsid w:val="000B3DEB"/>
    <w:rsid w:val="000F5A1F"/>
    <w:rsid w:val="000F7638"/>
    <w:rsid w:val="0011119C"/>
    <w:rsid w:val="00113420"/>
    <w:rsid w:val="00130B3B"/>
    <w:rsid w:val="00173602"/>
    <w:rsid w:val="001767E1"/>
    <w:rsid w:val="001B084F"/>
    <w:rsid w:val="001B5187"/>
    <w:rsid w:val="001C4D73"/>
    <w:rsid w:val="001D3DF1"/>
    <w:rsid w:val="001E55D1"/>
    <w:rsid w:val="001E7800"/>
    <w:rsid w:val="00213DBF"/>
    <w:rsid w:val="0021666A"/>
    <w:rsid w:val="00244AC2"/>
    <w:rsid w:val="0026768C"/>
    <w:rsid w:val="00280521"/>
    <w:rsid w:val="0028226C"/>
    <w:rsid w:val="002B4F4A"/>
    <w:rsid w:val="002D04E4"/>
    <w:rsid w:val="002D1A46"/>
    <w:rsid w:val="002D5737"/>
    <w:rsid w:val="002F5CF4"/>
    <w:rsid w:val="0033452F"/>
    <w:rsid w:val="00340A2A"/>
    <w:rsid w:val="00351669"/>
    <w:rsid w:val="00351B21"/>
    <w:rsid w:val="00390971"/>
    <w:rsid w:val="00395071"/>
    <w:rsid w:val="003A3819"/>
    <w:rsid w:val="003A4998"/>
    <w:rsid w:val="003A5CFE"/>
    <w:rsid w:val="003B3DF2"/>
    <w:rsid w:val="003C558F"/>
    <w:rsid w:val="003D766D"/>
    <w:rsid w:val="0040498E"/>
    <w:rsid w:val="00405030"/>
    <w:rsid w:val="00406D2B"/>
    <w:rsid w:val="00423339"/>
    <w:rsid w:val="00430AD5"/>
    <w:rsid w:val="0043223D"/>
    <w:rsid w:val="004408F1"/>
    <w:rsid w:val="0044406F"/>
    <w:rsid w:val="004463DF"/>
    <w:rsid w:val="004A3FDA"/>
    <w:rsid w:val="004A76B7"/>
    <w:rsid w:val="004E662F"/>
    <w:rsid w:val="004F28DB"/>
    <w:rsid w:val="00513C2E"/>
    <w:rsid w:val="00531592"/>
    <w:rsid w:val="005339E5"/>
    <w:rsid w:val="00541249"/>
    <w:rsid w:val="00550721"/>
    <w:rsid w:val="005543F0"/>
    <w:rsid w:val="0055785C"/>
    <w:rsid w:val="00565A3E"/>
    <w:rsid w:val="00566110"/>
    <w:rsid w:val="005807A3"/>
    <w:rsid w:val="00596B88"/>
    <w:rsid w:val="005C5E6D"/>
    <w:rsid w:val="005D2055"/>
    <w:rsid w:val="00603A58"/>
    <w:rsid w:val="0060719E"/>
    <w:rsid w:val="0060757A"/>
    <w:rsid w:val="0061423F"/>
    <w:rsid w:val="0061436B"/>
    <w:rsid w:val="006201FD"/>
    <w:rsid w:val="00647290"/>
    <w:rsid w:val="00651844"/>
    <w:rsid w:val="006547CA"/>
    <w:rsid w:val="00675961"/>
    <w:rsid w:val="0067672B"/>
    <w:rsid w:val="00677F57"/>
    <w:rsid w:val="006923EE"/>
    <w:rsid w:val="006A4E62"/>
    <w:rsid w:val="006B11D4"/>
    <w:rsid w:val="006E436B"/>
    <w:rsid w:val="00721D02"/>
    <w:rsid w:val="007331FA"/>
    <w:rsid w:val="00734F38"/>
    <w:rsid w:val="007561ED"/>
    <w:rsid w:val="00757534"/>
    <w:rsid w:val="007608FE"/>
    <w:rsid w:val="00777D14"/>
    <w:rsid w:val="00791418"/>
    <w:rsid w:val="007A302E"/>
    <w:rsid w:val="007F264A"/>
    <w:rsid w:val="00827042"/>
    <w:rsid w:val="00827B20"/>
    <w:rsid w:val="00836A4C"/>
    <w:rsid w:val="008449A5"/>
    <w:rsid w:val="008524B4"/>
    <w:rsid w:val="00862D77"/>
    <w:rsid w:val="00875ED5"/>
    <w:rsid w:val="00883843"/>
    <w:rsid w:val="008959F5"/>
    <w:rsid w:val="008A5A83"/>
    <w:rsid w:val="008C3FC5"/>
    <w:rsid w:val="008E653E"/>
    <w:rsid w:val="009037B2"/>
    <w:rsid w:val="0091225D"/>
    <w:rsid w:val="0092473E"/>
    <w:rsid w:val="00956EC8"/>
    <w:rsid w:val="009571FD"/>
    <w:rsid w:val="009640BC"/>
    <w:rsid w:val="009A2823"/>
    <w:rsid w:val="009B6D85"/>
    <w:rsid w:val="009D2684"/>
    <w:rsid w:val="009D6127"/>
    <w:rsid w:val="009E1A65"/>
    <w:rsid w:val="009E6843"/>
    <w:rsid w:val="00A038B7"/>
    <w:rsid w:val="00A41E5E"/>
    <w:rsid w:val="00A4201B"/>
    <w:rsid w:val="00A55F15"/>
    <w:rsid w:val="00A57F8F"/>
    <w:rsid w:val="00AA0BAA"/>
    <w:rsid w:val="00AA78B9"/>
    <w:rsid w:val="00AB3C45"/>
    <w:rsid w:val="00AB6C84"/>
    <w:rsid w:val="00AD5EFE"/>
    <w:rsid w:val="00B00DBA"/>
    <w:rsid w:val="00B012F1"/>
    <w:rsid w:val="00B51765"/>
    <w:rsid w:val="00B55E49"/>
    <w:rsid w:val="00B7296B"/>
    <w:rsid w:val="00B8624F"/>
    <w:rsid w:val="00BB065F"/>
    <w:rsid w:val="00BB3151"/>
    <w:rsid w:val="00BC3D9F"/>
    <w:rsid w:val="00BE204C"/>
    <w:rsid w:val="00BF17AF"/>
    <w:rsid w:val="00BF332B"/>
    <w:rsid w:val="00C2076B"/>
    <w:rsid w:val="00C25003"/>
    <w:rsid w:val="00C25CD6"/>
    <w:rsid w:val="00C53E13"/>
    <w:rsid w:val="00C958D4"/>
    <w:rsid w:val="00C96924"/>
    <w:rsid w:val="00CA74B6"/>
    <w:rsid w:val="00CB5542"/>
    <w:rsid w:val="00CC3647"/>
    <w:rsid w:val="00CC6142"/>
    <w:rsid w:val="00CD3017"/>
    <w:rsid w:val="00CD7716"/>
    <w:rsid w:val="00CE41E3"/>
    <w:rsid w:val="00D40B26"/>
    <w:rsid w:val="00D47C38"/>
    <w:rsid w:val="00D61EAE"/>
    <w:rsid w:val="00D73E08"/>
    <w:rsid w:val="00DA0C0E"/>
    <w:rsid w:val="00DB07AD"/>
    <w:rsid w:val="00DB3370"/>
    <w:rsid w:val="00DB7AEB"/>
    <w:rsid w:val="00DC1F02"/>
    <w:rsid w:val="00E03CCC"/>
    <w:rsid w:val="00E073B5"/>
    <w:rsid w:val="00E231E6"/>
    <w:rsid w:val="00E25B72"/>
    <w:rsid w:val="00E43886"/>
    <w:rsid w:val="00E51A49"/>
    <w:rsid w:val="00E52CA7"/>
    <w:rsid w:val="00E5571C"/>
    <w:rsid w:val="00E74677"/>
    <w:rsid w:val="00E80793"/>
    <w:rsid w:val="00E81AB8"/>
    <w:rsid w:val="00E857E2"/>
    <w:rsid w:val="00E923FE"/>
    <w:rsid w:val="00EA0C44"/>
    <w:rsid w:val="00EB1E79"/>
    <w:rsid w:val="00ED528F"/>
    <w:rsid w:val="00ED65DD"/>
    <w:rsid w:val="00ED68DD"/>
    <w:rsid w:val="00F110F6"/>
    <w:rsid w:val="00F13C73"/>
    <w:rsid w:val="00F54729"/>
    <w:rsid w:val="00F56BFA"/>
    <w:rsid w:val="00FA2AD7"/>
    <w:rsid w:val="00FA71AE"/>
    <w:rsid w:val="00FD18A7"/>
    <w:rsid w:val="00FE5385"/>
    <w:rsid w:val="00FE70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paragraph" w:styleId="Revisin">
    <w:name w:val="Revision"/>
    <w:hidden/>
    <w:uiPriority w:val="99"/>
    <w:semiHidden/>
    <w:rsid w:val="00B8624F"/>
    <w:pPr>
      <w:spacing w:after="0" w:line="240" w:lineRule="auto"/>
    </w:pPr>
  </w:style>
  <w:style w:type="character" w:styleId="Refdecomentario">
    <w:name w:val="annotation reference"/>
    <w:basedOn w:val="Fuentedeprrafopredeter"/>
    <w:uiPriority w:val="99"/>
    <w:semiHidden/>
    <w:unhideWhenUsed/>
    <w:rsid w:val="00734F38"/>
    <w:rPr>
      <w:sz w:val="16"/>
      <w:szCs w:val="16"/>
    </w:rPr>
  </w:style>
  <w:style w:type="paragraph" w:styleId="Textocomentario">
    <w:name w:val="annotation text"/>
    <w:basedOn w:val="Normal"/>
    <w:link w:val="TextocomentarioCar"/>
    <w:uiPriority w:val="99"/>
    <w:unhideWhenUsed/>
    <w:rsid w:val="00734F38"/>
    <w:pPr>
      <w:spacing w:line="240" w:lineRule="auto"/>
    </w:pPr>
    <w:rPr>
      <w:sz w:val="20"/>
      <w:szCs w:val="20"/>
    </w:rPr>
  </w:style>
  <w:style w:type="character" w:customStyle="1" w:styleId="TextocomentarioCar">
    <w:name w:val="Texto comentario Car"/>
    <w:basedOn w:val="Fuentedeprrafopredeter"/>
    <w:link w:val="Textocomentario"/>
    <w:uiPriority w:val="99"/>
    <w:rsid w:val="00734F38"/>
    <w:rPr>
      <w:sz w:val="20"/>
      <w:szCs w:val="20"/>
    </w:rPr>
  </w:style>
  <w:style w:type="paragraph" w:styleId="Asuntodelcomentario">
    <w:name w:val="annotation subject"/>
    <w:basedOn w:val="Textocomentario"/>
    <w:next w:val="Textocomentario"/>
    <w:link w:val="AsuntodelcomentarioCar"/>
    <w:uiPriority w:val="99"/>
    <w:semiHidden/>
    <w:unhideWhenUsed/>
    <w:rsid w:val="00734F38"/>
    <w:rPr>
      <w:b/>
      <w:bCs/>
    </w:rPr>
  </w:style>
  <w:style w:type="character" w:customStyle="1" w:styleId="AsuntodelcomentarioCar">
    <w:name w:val="Asunto del comentario Car"/>
    <w:basedOn w:val="TextocomentarioCar"/>
    <w:link w:val="Asuntodelcomentario"/>
    <w:uiPriority w:val="99"/>
    <w:semiHidden/>
    <w:rsid w:val="00734F3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AB0CFD-3B8A-4795-BAB5-826F0C052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3106935E-4538-4345-926B-E91AC6495D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2165</TotalTime>
  <Pages>3</Pages>
  <Words>1254</Words>
  <Characters>6857</Characters>
  <Application>Microsoft Office Word</Application>
  <DocSecurity>0</DocSecurity>
  <Lines>166</Lines>
  <Paragraphs>73</Paragraphs>
  <ScaleCrop>false</ScaleCrop>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118</cp:revision>
  <cp:lastPrinted>2025-09-01T14:20:00Z</cp:lastPrinted>
  <dcterms:created xsi:type="dcterms:W3CDTF">2025-03-19T01:09:00Z</dcterms:created>
  <dcterms:modified xsi:type="dcterms:W3CDTF">2026-04-13T15:27:00Z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95600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es</vt:lpwstr>
  </property>
</Properties>
</file>